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66D33" w:rsidP="008F77BB">
      <w:pPr>
        <w:jc w:val="center"/>
        <w:rPr>
          <w:b/>
          <w:sz w:val="28"/>
        </w:rPr>
      </w:pPr>
      <w:r>
        <w:rPr>
          <w:b/>
          <w:noProof/>
          <w:sz w:val="28"/>
        </w:rPr>
        <w:drawing>
          <wp:inline distT="0" distB="0" distL="0" distR="0" wp14:anchorId="7E7041B9">
            <wp:extent cx="52578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84120"/>
                    </a:xfrm>
                    <a:prstGeom prst="rect">
                      <a:avLst/>
                    </a:prstGeom>
                    <a:noFill/>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F77BB" w:rsidRPr="008F77BB" w:rsidRDefault="008F77BB" w:rsidP="008F77BB">
      <w:pPr>
        <w:jc w:val="center"/>
        <w:rPr>
          <w:b/>
          <w:sz w:val="22"/>
          <w:szCs w:val="22"/>
        </w:rPr>
      </w:pPr>
      <w:r w:rsidRPr="008F77BB">
        <w:rPr>
          <w:b/>
          <w:sz w:val="22"/>
          <w:szCs w:val="22"/>
        </w:rPr>
        <w:t xml:space="preserve">UPDATED </w:t>
      </w:r>
      <w:r w:rsidR="006D7D6D">
        <w:rPr>
          <w:b/>
          <w:sz w:val="22"/>
          <w:szCs w:val="22"/>
        </w:rPr>
        <w:t>August 2021</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430F1D">
        <w:rPr>
          <w:b/>
          <w:sz w:val="24"/>
        </w:rPr>
        <w:t>21</w:t>
      </w:r>
      <w:r>
        <w:rPr>
          <w:b/>
          <w:sz w:val="24"/>
        </w:rPr>
        <w:t>-20</w:t>
      </w:r>
      <w:r w:rsidR="00430F1D">
        <w:rPr>
          <w:b/>
          <w:sz w:val="24"/>
        </w:rPr>
        <w:t>22</w:t>
      </w:r>
      <w:bookmarkStart w:id="0" w:name="_GoBack"/>
      <w:bookmarkEnd w:id="0"/>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Shala Davis</w:t>
      </w:r>
      <w:r w:rsidR="00F7595B">
        <w:rPr>
          <w:b/>
          <w:sz w:val="24"/>
        </w:rPr>
        <w:t>, Ph.D.</w:t>
      </w:r>
      <w:r>
        <w:rPr>
          <w:b/>
          <w:sz w:val="24"/>
        </w:rPr>
        <w:t xml:space="preserve">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1C0EF6">
      <w:pPr>
        <w:ind w:left="720" w:firstLine="720"/>
        <w:jc w:val="both"/>
        <w:rPr>
          <w:b/>
          <w:sz w:val="24"/>
        </w:rPr>
      </w:pPr>
      <w:r>
        <w:rPr>
          <w:b/>
          <w:sz w:val="24"/>
        </w:rPr>
        <w:t>John Kraybill-Greggo</w:t>
      </w:r>
      <w:r w:rsidR="00F7595B">
        <w:rPr>
          <w:b/>
          <w:sz w:val="24"/>
        </w:rPr>
        <w:t>, Ph.D.</w:t>
      </w:r>
      <w:r w:rsidR="00F7595B">
        <w:rPr>
          <w:b/>
          <w:sz w:val="24"/>
        </w:rPr>
        <w:tab/>
      </w:r>
      <w:r w:rsidR="00F7595B">
        <w:rPr>
          <w:b/>
          <w:sz w:val="24"/>
        </w:rPr>
        <w:tab/>
      </w:r>
      <w:r w:rsidR="00F7595B">
        <w:rPr>
          <w:b/>
          <w:sz w:val="24"/>
        </w:rPr>
        <w:tab/>
      </w:r>
      <w:r w:rsidR="00BC3721">
        <w:rPr>
          <w:b/>
          <w:sz w:val="24"/>
        </w:rPr>
        <w:t>X</w:t>
      </w:r>
      <w:r>
        <w:rPr>
          <w:b/>
          <w:sz w:val="24"/>
        </w:rPr>
        <w:t>3844</w:t>
      </w:r>
    </w:p>
    <w:p w:rsidR="009710BF" w:rsidRDefault="00F7595B">
      <w:pPr>
        <w:jc w:val="both"/>
        <w:rPr>
          <w:b/>
          <w:sz w:val="24"/>
        </w:rPr>
      </w:pPr>
      <w:r>
        <w:rPr>
          <w:b/>
          <w:sz w:val="24"/>
        </w:rPr>
        <w:tab/>
      </w:r>
      <w:r>
        <w:rPr>
          <w:b/>
          <w:sz w:val="24"/>
        </w:rPr>
        <w:tab/>
      </w:r>
      <w:r w:rsidR="007115FD">
        <w:rPr>
          <w:b/>
          <w:sz w:val="24"/>
        </w:rPr>
        <w:t>Kelly Boyd</w:t>
      </w:r>
      <w:r>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r>
      <w:r w:rsidR="007115FD">
        <w:rPr>
          <w:b/>
          <w:sz w:val="24"/>
        </w:rPr>
        <w:t>X3702</w:t>
      </w:r>
    </w:p>
    <w:p w:rsidR="009710BF" w:rsidRDefault="00F7595B" w:rsidP="00FE4729">
      <w:pPr>
        <w:jc w:val="both"/>
        <w:rPr>
          <w:b/>
          <w:sz w:val="24"/>
        </w:rPr>
      </w:pPr>
      <w:r>
        <w:rPr>
          <w:b/>
          <w:sz w:val="24"/>
        </w:rPr>
        <w:tab/>
      </w:r>
      <w:r>
        <w:rPr>
          <w:b/>
          <w:sz w:val="24"/>
        </w:rPr>
        <w:tab/>
      </w:r>
      <w:r w:rsidR="00FE4729">
        <w:rPr>
          <w:b/>
          <w:sz w:val="24"/>
        </w:rPr>
        <w:t>Renee Boburka</w:t>
      </w:r>
      <w:r>
        <w:rPr>
          <w:b/>
          <w:sz w:val="24"/>
        </w:rPr>
        <w:t>, Ph.D.</w:t>
      </w:r>
      <w:r w:rsidR="001441CA">
        <w:rPr>
          <w:b/>
          <w:sz w:val="24"/>
        </w:rPr>
        <w:tab/>
      </w:r>
      <w:r w:rsidR="001441CA">
        <w:rPr>
          <w:b/>
          <w:sz w:val="24"/>
        </w:rPr>
        <w:tab/>
      </w:r>
      <w:r w:rsidR="001441CA">
        <w:rPr>
          <w:b/>
          <w:sz w:val="24"/>
        </w:rPr>
        <w:tab/>
      </w:r>
      <w:r w:rsidR="001441CA">
        <w:rPr>
          <w:b/>
          <w:sz w:val="24"/>
        </w:rPr>
        <w:tab/>
      </w:r>
      <w:r w:rsidR="00FE4729">
        <w:rPr>
          <w:b/>
          <w:sz w:val="24"/>
        </w:rPr>
        <w:t>X3328</w:t>
      </w:r>
    </w:p>
    <w:p w:rsidR="009710BF" w:rsidRDefault="00FE4729" w:rsidP="003E3D29">
      <w:pPr>
        <w:ind w:left="720" w:firstLine="720"/>
        <w:jc w:val="both"/>
        <w:rPr>
          <w:b/>
          <w:sz w:val="24"/>
        </w:rPr>
      </w:pPr>
      <w:r>
        <w:rPr>
          <w:b/>
          <w:sz w:val="24"/>
        </w:rPr>
        <w:t>Diane Holben</w:t>
      </w:r>
      <w:r w:rsidR="009710BF">
        <w:rPr>
          <w:b/>
          <w:sz w:val="24"/>
        </w:rPr>
        <w:tab/>
      </w:r>
      <w:r w:rsidR="009710BF">
        <w:rPr>
          <w:b/>
          <w:sz w:val="24"/>
        </w:rPr>
        <w:tab/>
      </w:r>
      <w:r w:rsidR="009710BF">
        <w:rPr>
          <w:b/>
          <w:sz w:val="24"/>
        </w:rPr>
        <w:tab/>
      </w:r>
      <w:r w:rsidR="009710BF">
        <w:rPr>
          <w:b/>
          <w:sz w:val="24"/>
        </w:rPr>
        <w:tab/>
      </w:r>
      <w:r w:rsidR="009710BF">
        <w:rPr>
          <w:b/>
          <w:sz w:val="24"/>
        </w:rPr>
        <w:tab/>
      </w:r>
      <w:r>
        <w:rPr>
          <w:b/>
          <w:sz w:val="24"/>
        </w:rPr>
        <w:tab/>
        <w:t>X3361</w:t>
      </w:r>
    </w:p>
    <w:p w:rsidR="009710BF" w:rsidRDefault="009710BF">
      <w:pPr>
        <w:jc w:val="both"/>
        <w:rPr>
          <w:b/>
          <w:sz w:val="24"/>
        </w:rPr>
      </w:pPr>
      <w:r>
        <w:rPr>
          <w:b/>
          <w:sz w:val="24"/>
        </w:rPr>
        <w:tab/>
      </w:r>
      <w:r>
        <w:rPr>
          <w:b/>
          <w:sz w:val="24"/>
        </w:rPr>
        <w:tab/>
      </w:r>
      <w:r w:rsidR="00623BC1">
        <w:rPr>
          <w:b/>
          <w:sz w:val="24"/>
        </w:rPr>
        <w:t>Greg Menio</w:t>
      </w:r>
      <w:r w:rsidR="00F7595B">
        <w:rPr>
          <w:b/>
          <w:sz w:val="24"/>
        </w:rPr>
        <w:t>, MD.</w:t>
      </w:r>
      <w:r w:rsidR="00350CA3">
        <w:rPr>
          <w:b/>
          <w:sz w:val="24"/>
        </w:rPr>
        <w:t xml:space="preserve"> (community member)</w:t>
      </w:r>
      <w:r w:rsidR="00350CA3">
        <w:rPr>
          <w:b/>
          <w:sz w:val="24"/>
        </w:rPr>
        <w:tab/>
      </w:r>
      <w:r w:rsidR="00350CA3">
        <w:rPr>
          <w:b/>
          <w:sz w:val="24"/>
        </w:rPr>
        <w:tab/>
      </w:r>
    </w:p>
    <w:p w:rsidR="00F7595B" w:rsidRDefault="00F7595B">
      <w:pPr>
        <w:jc w:val="both"/>
        <w:rPr>
          <w:b/>
          <w:sz w:val="24"/>
        </w:rPr>
      </w:pPr>
      <w:r>
        <w:rPr>
          <w:b/>
          <w:sz w:val="24"/>
        </w:rPr>
        <w:tab/>
      </w:r>
      <w:r>
        <w:rPr>
          <w:b/>
          <w:sz w:val="24"/>
        </w:rPr>
        <w:tab/>
        <w:t xml:space="preserve">Elizabeth Wise, </w:t>
      </w:r>
      <w:r w:rsidR="00A17736">
        <w:rPr>
          <w:b/>
          <w:sz w:val="24"/>
        </w:rPr>
        <w:t>RN</w:t>
      </w:r>
      <w:r>
        <w:rPr>
          <w:b/>
          <w:sz w:val="24"/>
        </w:rPr>
        <w:t xml:space="preserve"> (community member)</w:t>
      </w:r>
    </w:p>
    <w:p w:rsidR="00F7595B" w:rsidRDefault="00F7595B">
      <w:pPr>
        <w:jc w:val="both"/>
        <w:rPr>
          <w:b/>
          <w:sz w:val="24"/>
        </w:rPr>
      </w:pPr>
      <w:r>
        <w:rPr>
          <w:b/>
          <w:sz w:val="24"/>
        </w:rPr>
        <w:tab/>
      </w:r>
      <w:r>
        <w:rPr>
          <w:b/>
          <w:sz w:val="24"/>
        </w:rPr>
        <w:tab/>
      </w:r>
    </w:p>
    <w:p w:rsidR="00F7595B" w:rsidRDefault="00F7595B">
      <w:pPr>
        <w:jc w:val="both"/>
        <w:rPr>
          <w:b/>
          <w:sz w:val="24"/>
        </w:rPr>
      </w:pPr>
    </w:p>
    <w:p w:rsidR="00F7595B" w:rsidRDefault="00F7595B">
      <w:pPr>
        <w:jc w:val="both"/>
        <w:rPr>
          <w:b/>
          <w:sz w:val="24"/>
        </w:rPr>
      </w:pPr>
      <w:r>
        <w:rPr>
          <w:b/>
          <w:sz w:val="24"/>
        </w:rPr>
        <w:tab/>
      </w:r>
      <w:r>
        <w:rPr>
          <w:b/>
          <w:sz w:val="24"/>
        </w:rPr>
        <w:tab/>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These policies result from the desire of the East Stroudsburg University of Pennsylvania to comply with federal regulations</w:t>
      </w:r>
      <w:r w:rsidR="004F2F57">
        <w:rPr>
          <w:sz w:val="24"/>
        </w:rPr>
        <w:t xml:space="preserve"> (45 CFR 46- Revised Common Rule</w:t>
      </w:r>
      <w:r w:rsidR="0059330A">
        <w:rPr>
          <w:sz w:val="24"/>
        </w:rPr>
        <w:t>, 2018</w:t>
      </w:r>
      <w:r w:rsidR="004F2F57">
        <w:rPr>
          <w:sz w:val="24"/>
        </w:rPr>
        <w:t>)</w:t>
      </w:r>
      <w:r>
        <w:rPr>
          <w:sz w:val="24"/>
        </w:rPr>
        <w:t xml:space="preserve">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w:t>
      </w:r>
      <w:r w:rsidR="00866D33">
        <w:rPr>
          <w:sz w:val="24"/>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lastRenderedPageBreak/>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w:t>
      </w:r>
      <w:r w:rsidR="00F7595B">
        <w:rPr>
          <w:sz w:val="24"/>
        </w:rPr>
        <w:t>third</w:t>
      </w:r>
      <w:r w:rsidR="005D0DF9">
        <w:rPr>
          <w:sz w:val="24"/>
        </w:rPr>
        <w:t xml:space="preserve">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r>
        <w:rPr>
          <w:bCs/>
          <w:sz w:val="24"/>
        </w:rPr>
        <w:t>being of individuals.</w:t>
      </w:r>
    </w:p>
    <w:p w:rsidR="009710BF" w:rsidRDefault="009710BF">
      <w:pPr>
        <w:jc w:val="both"/>
        <w:rPr>
          <w:sz w:val="24"/>
        </w:rPr>
      </w:pPr>
    </w:p>
    <w:p w:rsidR="009710BF" w:rsidRDefault="009710BF">
      <w:pPr>
        <w:jc w:val="both"/>
        <w:rPr>
          <w:sz w:val="24"/>
        </w:rPr>
      </w:pPr>
      <w:r>
        <w:rPr>
          <w:sz w:val="24"/>
        </w:rPr>
        <w:lastRenderedPageBreak/>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 xml:space="preserve">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w:t>
      </w:r>
      <w:r w:rsidR="004F2F57">
        <w:rPr>
          <w:sz w:val="24"/>
        </w:rPr>
        <w:t xml:space="preserve">complete </w:t>
      </w:r>
      <w:r w:rsidR="009A7B0B">
        <w:rPr>
          <w:sz w:val="24"/>
        </w:rPr>
        <w:t>the Collaborative Institutional Training Initiative (CITI)</w:t>
      </w:r>
      <w:r w:rsidR="002B3439">
        <w:rPr>
          <w:sz w:val="24"/>
        </w:rPr>
        <w:t xml:space="preserve"> Course</w:t>
      </w:r>
      <w:r w:rsidR="006D7D6D">
        <w:rPr>
          <w:sz w:val="24"/>
        </w:rPr>
        <w:t xml:space="preserve"> (select either the Biomedical Research or Social/Behavioral Research Modules</w:t>
      </w:r>
      <w:r>
        <w:rPr>
          <w:sz w:val="24"/>
        </w:rPr>
        <w:t xml:space="preserve">.  A hard copy of the certificate issued by </w:t>
      </w:r>
      <w:r w:rsidR="002B3439">
        <w:rPr>
          <w:sz w:val="24"/>
        </w:rPr>
        <w:t>CITI</w:t>
      </w:r>
      <w:r>
        <w:rPr>
          <w:sz w:val="24"/>
        </w:rPr>
        <w:t xml:space="preserve"> at the end of the course needs to be submitted to the IRB with each proposed request.  This certificate expires </w:t>
      </w:r>
      <w:r w:rsidR="002B3439">
        <w:rPr>
          <w:sz w:val="24"/>
          <w:u w:val="single"/>
        </w:rPr>
        <w:t>three</w:t>
      </w:r>
      <w:r w:rsidRPr="00B833BF">
        <w:rPr>
          <w:sz w:val="24"/>
          <w:u w:val="single"/>
        </w:rPr>
        <w:t xml:space="preserve"> years</w:t>
      </w:r>
      <w:r>
        <w:rPr>
          <w:sz w:val="24"/>
        </w:rPr>
        <w:t xml:space="preserve"> from completion date.  </w:t>
      </w:r>
      <w:r w:rsidR="009A7B0B">
        <w:rPr>
          <w:sz w:val="24"/>
        </w:rPr>
        <w:t>To access the CITI training program 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F7595B" w:rsidRDefault="00F7595B">
      <w:pPr>
        <w:jc w:val="both"/>
        <w:rPr>
          <w:b/>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sent directly to the IRB, and sufficiently in advance of the due date of the application in order to allow time for the review process, should it be deemed necessary.  All research </w:t>
      </w:r>
      <w:r>
        <w:rPr>
          <w:sz w:val="24"/>
        </w:rPr>
        <w:lastRenderedPageBreak/>
        <w:t>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4F2F57" w:rsidRDefault="009710BF" w:rsidP="004F2F57">
      <w:pPr>
        <w:pStyle w:val="BodyTextIndent"/>
      </w:pPr>
      <w:r>
        <w:t xml:space="preserve">Excluded from this definition are activities whose sole purpose is instructional; also excluded are activities whose purpose </w:t>
      </w:r>
      <w:r w:rsidR="004F2F57">
        <w:t>is</w:t>
      </w:r>
      <w:r>
        <w:t xml:space="preserve"> related to routine course or program development.  </w:t>
      </w:r>
    </w:p>
    <w:p w:rsidR="004F2F57" w:rsidRDefault="004F2F57" w:rsidP="004F2F57">
      <w:pPr>
        <w:pStyle w:val="BodyTextIndent"/>
      </w:pPr>
    </w:p>
    <w:p w:rsidR="004F2F57" w:rsidRPr="0059330A" w:rsidRDefault="004F2F57" w:rsidP="004F2F57">
      <w:pPr>
        <w:pStyle w:val="BodyTextIndent"/>
        <w:rPr>
          <w:b/>
        </w:rPr>
      </w:pPr>
      <w:r w:rsidRPr="0059330A">
        <w:rPr>
          <w:b/>
        </w:rPr>
        <w:t>The revised Common Rule adds a provision that identifies four types of activities as not being “research” as defined in the Rule. In other words, the revised Common Rule does not apply to the following types of activities because they do not meet the regulatory definition of research:</w:t>
      </w:r>
    </w:p>
    <w:p w:rsidR="004F2F57" w:rsidRPr="0059330A" w:rsidRDefault="004F2F57" w:rsidP="004F2F57">
      <w:pPr>
        <w:pStyle w:val="BodyTextIndent"/>
        <w:ind w:firstLine="720"/>
        <w:rPr>
          <w:b/>
        </w:rPr>
      </w:pPr>
      <w:r w:rsidRPr="0059330A">
        <w:rPr>
          <w:b/>
        </w:rPr>
        <w:t>•Certain scholarly and journalistic activities,</w:t>
      </w:r>
    </w:p>
    <w:p w:rsidR="004F2F57" w:rsidRPr="0059330A" w:rsidRDefault="004F2F57" w:rsidP="004F2F57">
      <w:pPr>
        <w:pStyle w:val="BodyTextIndent"/>
        <w:ind w:firstLine="720"/>
        <w:rPr>
          <w:b/>
        </w:rPr>
      </w:pPr>
      <w:r w:rsidRPr="0059330A">
        <w:rPr>
          <w:b/>
        </w:rPr>
        <w:t>•Certain public health surveillance activities,</w:t>
      </w:r>
    </w:p>
    <w:p w:rsidR="004F2F57" w:rsidRPr="0059330A" w:rsidRDefault="004F2F57" w:rsidP="004F2F57">
      <w:pPr>
        <w:pStyle w:val="BodyTextIndent"/>
        <w:ind w:left="1440"/>
        <w:rPr>
          <w:b/>
        </w:rPr>
      </w:pPr>
      <w:r w:rsidRPr="0059330A">
        <w:rPr>
          <w:b/>
        </w:rPr>
        <w:t>•Collection and analysis of information, specimens, or records, by or for a criminal justice agency for certain criminal justice or investigative purposes, and</w:t>
      </w:r>
    </w:p>
    <w:p w:rsidR="009710BF" w:rsidRPr="0059330A" w:rsidRDefault="004F2F57" w:rsidP="004F2F57">
      <w:pPr>
        <w:pStyle w:val="BodyTextIndent"/>
        <w:ind w:firstLine="720"/>
        <w:rPr>
          <w:b/>
        </w:rPr>
      </w:pPr>
      <w:r w:rsidRPr="0059330A">
        <w:rPr>
          <w:b/>
        </w:rPr>
        <w:t>•Certain authorized operational activities for national security purposes</w:t>
      </w:r>
    </w:p>
    <w:p w:rsidR="004F2F57" w:rsidRPr="0059330A" w:rsidRDefault="004F2F57" w:rsidP="004F2F57">
      <w:pPr>
        <w:pStyle w:val="BodyTextIndent"/>
        <w:ind w:left="0"/>
        <w:rPr>
          <w:b/>
        </w:rPr>
      </w:pPr>
    </w:p>
    <w:p w:rsidR="004F2F57" w:rsidRPr="0059330A" w:rsidRDefault="004F2F57" w:rsidP="004F2F57">
      <w:pPr>
        <w:pStyle w:val="BodyTextIndent"/>
        <w:rPr>
          <w:b/>
        </w:rPr>
      </w:pPr>
      <w:r w:rsidRPr="0059330A">
        <w:rPr>
          <w:b/>
        </w:rPr>
        <w:t>[Please refer to 45 CFR 46.102(l) of the revised Common Rule for the full description of the excluded categories of activities.]</w:t>
      </w: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lastRenderedPageBreak/>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Pr="0059330A" w:rsidRDefault="009710BF">
      <w:pPr>
        <w:ind w:left="720" w:hanging="720"/>
        <w:jc w:val="both"/>
        <w:rPr>
          <w:sz w:val="24"/>
        </w:rPr>
      </w:pPr>
      <w:r>
        <w:rPr>
          <w:b/>
          <w:bCs/>
          <w:sz w:val="24"/>
        </w:rPr>
        <w:t>II.</w:t>
      </w:r>
      <w:r>
        <w:rPr>
          <w:b/>
          <w:bCs/>
          <w:sz w:val="24"/>
        </w:rPr>
        <w:tab/>
        <w:t xml:space="preserve">Human Subject </w:t>
      </w:r>
      <w:r w:rsidRPr="0059330A">
        <w:rPr>
          <w:bCs/>
          <w:sz w:val="24"/>
        </w:rPr>
        <w:t>-</w:t>
      </w:r>
      <w:r w:rsidRPr="0059330A">
        <w:rPr>
          <w:sz w:val="24"/>
        </w:rPr>
        <w:t xml:space="preserve"> a living individual about whom an investigator conducting research obtains (1) </w:t>
      </w:r>
      <w:r w:rsidR="00882ABA" w:rsidRPr="0059330A">
        <w:rPr>
          <w:sz w:val="24"/>
        </w:rPr>
        <w:t xml:space="preserve">information or biospecimens </w:t>
      </w:r>
      <w:r w:rsidRPr="0059330A">
        <w:rPr>
          <w:sz w:val="24"/>
        </w:rPr>
        <w:t>through intervention or interaction with the individual, or (2)</w:t>
      </w:r>
      <w:r w:rsidR="00882ABA" w:rsidRPr="0059330A">
        <w:t xml:space="preserve"> </w:t>
      </w:r>
      <w:r w:rsidR="00882ABA" w:rsidRPr="0059330A">
        <w:rPr>
          <w:sz w:val="24"/>
        </w:rPr>
        <w:t>using, studying, or analyzing individuals’ information or biospecimens or generating identifiable private information or identifiable biospecimens</w:t>
      </w:r>
      <w:r w:rsidRPr="0059330A">
        <w:rPr>
          <w:sz w:val="24"/>
        </w:rPr>
        <w:t>.</w:t>
      </w:r>
    </w:p>
    <w:p w:rsidR="009710BF" w:rsidRDefault="009710BF">
      <w:pPr>
        <w:ind w:left="720" w:hanging="720"/>
        <w:jc w:val="both"/>
        <w:rPr>
          <w:sz w:val="24"/>
        </w:rPr>
      </w:pPr>
    </w:p>
    <w:p w:rsidR="009710BF" w:rsidRDefault="009710BF">
      <w:pPr>
        <w:ind w:left="720" w:hanging="720"/>
        <w:jc w:val="both"/>
        <w:rPr>
          <w:sz w:val="24"/>
        </w:rPr>
      </w:pPr>
      <w:r>
        <w:rPr>
          <w:b/>
          <w:bCs/>
          <w:sz w:val="24"/>
        </w:rPr>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w:t>
      </w:r>
      <w:r w:rsidR="00982BBD">
        <w:rPr>
          <w:sz w:val="24"/>
        </w:rPr>
        <w:t>eight</w:t>
      </w:r>
      <w:r>
        <w:rPr>
          <w:sz w:val="24"/>
        </w:rPr>
        <w:t xml:space="preserve"> categories of research as exempt from the continuing Institutional Review Board for the Protection of Human Subjects (IRB) review based upon the Department of Health and Human Services (DHHS) regulations published in the Code of Federal Regulations, 45 CFR 46, </w:t>
      </w:r>
      <w:r w:rsidR="00866D33">
        <w:rPr>
          <w:sz w:val="24"/>
        </w:rPr>
        <w:t xml:space="preserve">amended in </w:t>
      </w:r>
      <w:r w:rsidR="0059330A">
        <w:rPr>
          <w:sz w:val="24"/>
        </w:rPr>
        <w:t>2018</w:t>
      </w:r>
      <w:r w:rsidR="00866D33">
        <w:rPr>
          <w:sz w:val="24"/>
        </w:rPr>
        <w:t xml:space="preserve">. </w:t>
      </w:r>
      <w:r>
        <w:rPr>
          <w:sz w:val="24"/>
        </w:rPr>
        <w:t xml:space="preserve"> In order to establish an </w:t>
      </w:r>
      <w:r>
        <w:rPr>
          <w:sz w:val="24"/>
        </w:rPr>
        <w:lastRenderedPageBreak/>
        <w:t xml:space="preserve">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research involving deception of subjects (i.e., where the researcher deceives the subject with regard to the purpose of the research and/or the results of the subject's actions in the 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882ABA" w:rsidRDefault="00882ABA">
      <w:pPr>
        <w:ind w:firstLine="720"/>
        <w:jc w:val="both"/>
        <w:rPr>
          <w:sz w:val="24"/>
        </w:rPr>
      </w:pPr>
    </w:p>
    <w:p w:rsidR="00882ABA" w:rsidRPr="00882ABA" w:rsidRDefault="00882ABA" w:rsidP="00882ABA">
      <w:pPr>
        <w:jc w:val="both"/>
        <w:rPr>
          <w:b/>
          <w:sz w:val="24"/>
        </w:rPr>
      </w:pPr>
      <w:r w:rsidRPr="00882ABA">
        <w:rPr>
          <w:b/>
          <w:sz w:val="24"/>
        </w:rPr>
        <w:t>Update from Common Rule 2018: the research must also not be likely to adversely impact the student’s opportunity to learn required educational content or the assessment of educators who provide the instruction.</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w:t>
      </w:r>
      <w:r w:rsidR="00882ABA">
        <w:rPr>
          <w:sz w:val="24"/>
        </w:rPr>
        <w:t xml:space="preserve">that </w:t>
      </w:r>
      <w:r w:rsidR="00882ABA" w:rsidRPr="00882ABA">
        <w:rPr>
          <w:b/>
          <w:sz w:val="24"/>
        </w:rPr>
        <w:t>only</w:t>
      </w:r>
      <w:r w:rsidR="00882ABA">
        <w:rPr>
          <w:b/>
          <w:sz w:val="24"/>
        </w:rPr>
        <w:t xml:space="preserve"> includes interactions</w:t>
      </w:r>
      <w:r w:rsidR="00882ABA">
        <w:rPr>
          <w:sz w:val="24"/>
        </w:rPr>
        <w:t xml:space="preserve"> </w:t>
      </w:r>
      <w:r>
        <w:rPr>
          <w:sz w:val="24"/>
        </w:rPr>
        <w:t>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at risk for criminal or civil liability or be damaging to the subjects' finan</w:t>
      </w:r>
      <w:r w:rsidR="00882ABA">
        <w:rPr>
          <w:sz w:val="24"/>
        </w:rPr>
        <w:t>cial standing, employability,</w:t>
      </w:r>
      <w:r>
        <w:rPr>
          <w:sz w:val="24"/>
        </w:rPr>
        <w:t xml:space="preserve"> reputation</w:t>
      </w:r>
      <w:r w:rsidR="00882ABA">
        <w:rPr>
          <w:sz w:val="24"/>
        </w:rPr>
        <w:t xml:space="preserve">, </w:t>
      </w:r>
      <w:r w:rsidR="00882ABA" w:rsidRPr="00882ABA">
        <w:rPr>
          <w:b/>
          <w:sz w:val="24"/>
        </w:rPr>
        <w:t>and educational advancement</w:t>
      </w:r>
      <w:r>
        <w:rPr>
          <w:sz w:val="24"/>
        </w:rPr>
        <w:t xml:space="preserve">.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t xml:space="preserve">With respect to potential psychological risk associated with a survey, the presence or absence of subject identifiers is not necessarily a consideration since the risk may be 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1B544F" w:rsidRDefault="001B544F" w:rsidP="001B544F">
      <w:pPr>
        <w:jc w:val="both"/>
        <w:rPr>
          <w:sz w:val="24"/>
        </w:rPr>
      </w:pPr>
    </w:p>
    <w:p w:rsidR="001B544F" w:rsidRDefault="001B544F" w:rsidP="001B544F">
      <w:pPr>
        <w:jc w:val="both"/>
        <w:rPr>
          <w:b/>
          <w:sz w:val="24"/>
        </w:rPr>
      </w:pPr>
      <w:r w:rsidRPr="001B544F">
        <w:rPr>
          <w:b/>
          <w:sz w:val="24"/>
        </w:rPr>
        <w:t>NOTE: where identifiable information (even if sensitive) is recorded, provided that an IRB determines through limited review that, when appropriate, there are adequate privacy and confidentiality protections in the study.</w:t>
      </w:r>
    </w:p>
    <w:p w:rsidR="001B544F" w:rsidRPr="001B544F" w:rsidRDefault="001B544F" w:rsidP="001B544F">
      <w:pPr>
        <w:jc w:val="both"/>
        <w:rPr>
          <w:b/>
          <w:sz w:val="24"/>
        </w:rPr>
      </w:pPr>
    </w:p>
    <w:p w:rsidR="001B544F" w:rsidRPr="001B544F" w:rsidRDefault="001B544F" w:rsidP="001B544F">
      <w:pPr>
        <w:jc w:val="both"/>
        <w:rPr>
          <w:sz w:val="24"/>
        </w:rPr>
      </w:pPr>
      <w:r w:rsidRPr="001B544F">
        <w:rPr>
          <w:b/>
          <w:sz w:val="24"/>
        </w:rPr>
        <w:t>3.</w:t>
      </w:r>
      <w:r w:rsidRPr="001B544F">
        <w:rPr>
          <w:sz w:val="24"/>
        </w:rPr>
        <w:t>Applies to research involving benign behavioral interventions with adults who prospectively agree to the research, when the information collected is limited to verbal or written responses, including data entry or audiovisual recordings. The criteria for when Exemption 3 applies to such research is the same as for Exemption 2, in summary: (1) the information recorded cannot be readily linked back to the subjects in such a manner that subjects’ identity can be readily ascertained, directly or through identifiers linked to the subjects; or (2) any disclosure of this information would not place the subjects at risk of certain harms, or (3) the information is recorded in an identifiable manner, even if sensitive, provided that an IRB determines through limited review that , when appropriate, there are adequate privacy and confidentiality protections in the study.</w:t>
      </w:r>
    </w:p>
    <w:p w:rsidR="001B544F" w:rsidRPr="001B544F" w:rsidRDefault="001B544F" w:rsidP="001B544F">
      <w:pPr>
        <w:jc w:val="both"/>
        <w:rPr>
          <w:sz w:val="24"/>
        </w:rPr>
      </w:pPr>
    </w:p>
    <w:p w:rsidR="009710BF" w:rsidRDefault="001B544F" w:rsidP="001B544F">
      <w:pPr>
        <w:jc w:val="both"/>
        <w:rPr>
          <w:sz w:val="24"/>
        </w:rPr>
      </w:pPr>
      <w:r w:rsidRPr="001B544F">
        <w:rPr>
          <w:sz w:val="24"/>
        </w:rPr>
        <w:lastRenderedPageBreak/>
        <w:t>Exemption 3 applies to behavioral interventions only. It is not applicable to biomedical research. Additionally, it applies only to research with adults; it is not applicable to research with children.</w:t>
      </w:r>
    </w:p>
    <w:p w:rsidR="001B544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r w:rsidR="001B544F">
        <w:rPr>
          <w:sz w:val="24"/>
        </w:rPr>
        <w:t xml:space="preserve"> </w:t>
      </w:r>
    </w:p>
    <w:p w:rsidR="001B544F" w:rsidRPr="001B544F" w:rsidRDefault="001B544F" w:rsidP="001B544F">
      <w:pPr>
        <w:jc w:val="both"/>
        <w:rPr>
          <w:b/>
          <w:sz w:val="24"/>
        </w:rPr>
      </w:pPr>
      <w:r w:rsidRPr="001B544F">
        <w:rPr>
          <w:b/>
          <w:sz w:val="24"/>
        </w:rPr>
        <w:t>In addition, when the investigator’s secondary use of the identifiable private information is regulated under HIPAA as “healthcare operations,” “research,” or “public health.” Note that HIPAA does not apply to biospecimens, so this provision applies only to the secondary use of identifiable private health information (which can include information obtained from biospecimens).</w:t>
      </w:r>
    </w:p>
    <w:p w:rsidR="001B544F" w:rsidRPr="001B544F" w:rsidRDefault="001B544F" w:rsidP="001B544F">
      <w:pPr>
        <w:jc w:val="both"/>
        <w:rPr>
          <w:b/>
          <w:sz w:val="24"/>
        </w:rPr>
      </w:pPr>
      <w:r w:rsidRPr="001B544F">
        <w:rPr>
          <w:b/>
          <w:sz w:val="24"/>
        </w:rPr>
        <w:t>When the secondary research is conducted by or on behalf of a federal department or agency, using data collected or generated by the government for nonresearch purposes, and the information is subject to federal privacy standards and other requirements specified in the exemption.</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r w:rsidR="001B544F">
        <w:rPr>
          <w:sz w:val="24"/>
        </w:rPr>
        <w:t xml:space="preserve"> (e) </w:t>
      </w:r>
      <w:r w:rsidR="001B544F" w:rsidRPr="001B544F">
        <w:rPr>
          <w:b/>
          <w:sz w:val="24"/>
        </w:rPr>
        <w:t>to include research that is also supported by a federal department or agency (for example, through a grant of funding).</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54941" w:rsidRDefault="00C54941">
      <w:pPr>
        <w:pStyle w:val="BodyText"/>
        <w:rPr>
          <w:b/>
        </w:rPr>
      </w:pPr>
      <w:r>
        <w:t xml:space="preserve">7. </w:t>
      </w:r>
      <w:r w:rsidRPr="00C54941">
        <w:rPr>
          <w:b/>
        </w:rPr>
        <w:t>A new exemption in the revised Common Rule that covers the storage or maintenance of identifiable private information or identifiable biospecimens for secondary research. Secondary research refers to research with materials originally obtained for nonresearch purposes or for research other than the current research proposal. The exemption can only be used when there is broad consent from the subjects for the storage, maintenance, and secondary research use of their identifiable materials.</w:t>
      </w:r>
    </w:p>
    <w:p w:rsidR="00C54941" w:rsidRDefault="00C54941">
      <w:pPr>
        <w:pStyle w:val="BodyText"/>
      </w:pPr>
      <w:r>
        <w:rPr>
          <w:b/>
        </w:rPr>
        <w:t>8.</w:t>
      </w:r>
      <w:r w:rsidRPr="00C54941">
        <w:t xml:space="preserve"> </w:t>
      </w:r>
      <w:r>
        <w:rPr>
          <w:b/>
        </w:rPr>
        <w:t>A</w:t>
      </w:r>
      <w:r w:rsidRPr="00C54941">
        <w:rPr>
          <w:b/>
        </w:rPr>
        <w:t xml:space="preserve"> new exemption in the revised Common Rule that covers the secondary research use of identifiable private information or identifiable biospecimens originally obtained for nonresearch purposes or for research other than the current proposal. There are four requirements that must be satisfied to use exemption 8: broad consent must be obtained from the subjects for the secondary research use of their identifiable materials, documentation or waiver of documentation of informed consent must be obtained, an IRB must conduct a limited review to make certain determinations relating to privacy and confidentiality protections and broad consent, and investigators cannot include the return of individual research results to subjects in </w:t>
      </w:r>
      <w:r w:rsidRPr="00C54941">
        <w:rPr>
          <w:b/>
        </w:rPr>
        <w:lastRenderedPageBreak/>
        <w:t>the study plan. Note that this requirement does not limit an investigator’s ability to abide by any other legal requirement to return individual research results</w:t>
      </w:r>
      <w:r>
        <w:rPr>
          <w:b/>
        </w:rPr>
        <w:t>.</w:t>
      </w:r>
    </w:p>
    <w:p w:rsidR="009710BF" w:rsidRDefault="009710BF">
      <w:pPr>
        <w:jc w:val="both"/>
        <w:rPr>
          <w:sz w:val="24"/>
        </w:rPr>
      </w:pPr>
    </w:p>
    <w:p w:rsidR="00C54941" w:rsidRDefault="00C54941">
      <w:pPr>
        <w:pStyle w:val="BodyText2"/>
        <w:rPr>
          <w:bCs/>
        </w:rPr>
      </w:pP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which pose no more than minimal risks to subjects and for which clear standards can be set. Accordingly, research projects which fall under one of the categories listed below will 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lastRenderedPageBreak/>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t xml:space="preserve">           9.  Collection of both supra- and subgingival dental plaque and calculus, provided</w:t>
      </w:r>
    </w:p>
    <w:p w:rsidR="009710BF" w:rsidRDefault="009710BF" w:rsidP="001E58F5">
      <w:pPr>
        <w:jc w:val="both"/>
        <w:rPr>
          <w:sz w:val="24"/>
        </w:rPr>
      </w:pPr>
      <w:r>
        <w:rPr>
          <w:sz w:val="24"/>
        </w:rPr>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A03133" w:rsidRDefault="00A03133">
      <w:pPr>
        <w:jc w:val="both"/>
        <w:rPr>
          <w:sz w:val="24"/>
        </w:rPr>
      </w:pPr>
    </w:p>
    <w:p w:rsidR="00A03133" w:rsidRDefault="00A03133">
      <w:pPr>
        <w:jc w:val="both"/>
        <w:rPr>
          <w:b/>
          <w:sz w:val="24"/>
        </w:rPr>
      </w:pPr>
      <w:r w:rsidRPr="00A03133">
        <w:rPr>
          <w:b/>
          <w:sz w:val="24"/>
        </w:rPr>
        <w:t>Limited Review</w:t>
      </w:r>
    </w:p>
    <w:p w:rsidR="00A03133" w:rsidRPr="00A03133" w:rsidRDefault="00A03133" w:rsidP="00A03133">
      <w:pPr>
        <w:jc w:val="both"/>
        <w:rPr>
          <w:b/>
          <w:sz w:val="24"/>
        </w:rPr>
      </w:pPr>
    </w:p>
    <w:p w:rsidR="00A03133" w:rsidRPr="00A03133" w:rsidRDefault="00A03133" w:rsidP="00A03133">
      <w:pPr>
        <w:jc w:val="both"/>
        <w:rPr>
          <w:sz w:val="24"/>
        </w:rPr>
      </w:pPr>
      <w:r w:rsidRPr="00A03133">
        <w:rPr>
          <w:sz w:val="24"/>
        </w:rPr>
        <w:t>Limited IRB review is a process that is required only for certain exemptions, and does not require an IRB to consider all of the IRB approval criteria in §46.111. In limited IRB review, the IRB must determine that certain conditions, which are specified in the regulations, are met. Limited IRB review may be done via the expedited review mechanism, that is, by the Chair or an experienced IRB member designated by the Chair (although it can also be conducted by the full IRB). Continuing review is not required.</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 xml:space="preserve">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w:t>
      </w:r>
      <w:r>
        <w:rPr>
          <w:sz w:val="24"/>
        </w:rPr>
        <w:lastRenderedPageBreak/>
        <w:t>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602F00" w:rsidRPr="00602F00" w:rsidRDefault="009710BF" w:rsidP="00602F00">
      <w:pPr>
        <w:jc w:val="both"/>
        <w:rPr>
          <w:b/>
          <w:sz w:val="24"/>
        </w:rPr>
      </w:pPr>
      <w:r>
        <w:rPr>
          <w:sz w:val="24"/>
        </w:rPr>
        <w:tab/>
        <w:t xml:space="preserve">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w:t>
      </w:r>
      <w:r>
        <w:rPr>
          <w:sz w:val="24"/>
        </w:rPr>
        <w:lastRenderedPageBreak/>
        <w:t>or negligence.</w:t>
      </w:r>
      <w:r w:rsidR="00602F00" w:rsidRPr="00602F00">
        <w:t xml:space="preserve"> </w:t>
      </w:r>
      <w:r w:rsidR="00602F00" w:rsidRPr="00602F00">
        <w:rPr>
          <w:b/>
          <w:sz w:val="24"/>
        </w:rPr>
        <w:t>One of the new standards is that the consent form, and the consent process, should provide subjects with the information needed to make an informed decision about whether to participate. One change is introducing the requirement that informed consent must give prospective subjects the information that a reasonable person would want to have in order to make an informed decision about whether to participate. Using this standard, informed consent remains focused on what information a reasonable person would want to have to make an informed choice about participation.</w:t>
      </w:r>
    </w:p>
    <w:p w:rsidR="00602F00" w:rsidRPr="00602F00" w:rsidRDefault="00602F00" w:rsidP="00602F00">
      <w:pPr>
        <w:jc w:val="both"/>
        <w:rPr>
          <w:b/>
          <w:sz w:val="24"/>
        </w:rPr>
      </w:pPr>
    </w:p>
    <w:p w:rsidR="00602F00" w:rsidRPr="00602F00" w:rsidRDefault="00602F00" w:rsidP="00602F00">
      <w:pPr>
        <w:jc w:val="both"/>
        <w:rPr>
          <w:b/>
          <w:sz w:val="24"/>
        </w:rPr>
      </w:pPr>
      <w:r w:rsidRPr="00602F00">
        <w:rPr>
          <w:b/>
          <w:sz w:val="24"/>
        </w:rPr>
        <w:t>An additional change is that the information needs to be presented in sufficient detail and organized and presented in a way that facilitates an understanding of why one might, or might not, want to participate.</w:t>
      </w:r>
    </w:p>
    <w:p w:rsidR="00602F00" w:rsidRPr="00602F00" w:rsidRDefault="00602F00" w:rsidP="00602F00">
      <w:pPr>
        <w:jc w:val="both"/>
        <w:rPr>
          <w:sz w:val="24"/>
        </w:rPr>
      </w:pP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w:t>
      </w:r>
      <w:r w:rsidR="000D3BED">
        <w:rPr>
          <w:sz w:val="24"/>
        </w:rPr>
        <w:t>A</w:t>
      </w:r>
      <w:r w:rsidR="000D3BED" w:rsidRPr="000D3BED">
        <w:rPr>
          <w:sz w:val="24"/>
        </w:rPr>
        <w:t xml:space="preserve"> new requirement </w:t>
      </w:r>
      <w:r w:rsidR="000D3BED" w:rsidRPr="000D3BED">
        <w:rPr>
          <w:b/>
          <w:sz w:val="24"/>
        </w:rPr>
        <w:t xml:space="preserve"> key information</w:t>
      </w:r>
      <w:r w:rsidR="000D3BED" w:rsidRPr="000D3BED">
        <w:rPr>
          <w:sz w:val="24"/>
        </w:rPr>
        <w:t xml:space="preserve"> about the study must be provided at the beginning. This will likely include information about the purpose, the risks, the </w:t>
      </w:r>
      <w:r w:rsidR="000D3BED" w:rsidRPr="000D3BED">
        <w:rPr>
          <w:sz w:val="24"/>
        </w:rPr>
        <w:lastRenderedPageBreak/>
        <w:t>benefits, and alternatives, and it will explain to the person how to think about these pieces of information in terms of making a decision. It should be presented in a concise and focused manner.</w:t>
      </w:r>
      <w:r>
        <w:rPr>
          <w:sz w:val="24"/>
        </w:rPr>
        <w:t xml:space="preserve">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0D3BED" w:rsidRDefault="000D3BED">
      <w:pPr>
        <w:ind w:left="720"/>
        <w:jc w:val="both"/>
        <w:rPr>
          <w:sz w:val="24"/>
        </w:rPr>
      </w:pPr>
      <w:r>
        <w:rPr>
          <w:b/>
          <w:bCs/>
          <w:sz w:val="24"/>
        </w:rPr>
        <w:t>9.</w:t>
      </w:r>
      <w:r>
        <w:rPr>
          <w:sz w:val="24"/>
        </w:rPr>
        <w:t xml:space="preserve"> </w:t>
      </w:r>
      <w:r w:rsidRPr="000D3BED">
        <w:rPr>
          <w:b/>
          <w:sz w:val="24"/>
        </w:rPr>
        <w:t>A statement about whether participants' information or biospecimens collected as part of the current research might be stripped of identifiers and used for other research in the future.</w:t>
      </w:r>
    </w:p>
    <w:p w:rsidR="009710BF" w:rsidRDefault="009710BF">
      <w:pPr>
        <w:ind w:left="720"/>
        <w:jc w:val="both"/>
        <w:rPr>
          <w:sz w:val="24"/>
        </w:rPr>
      </w:pPr>
      <w:r>
        <w:rPr>
          <w:sz w:val="24"/>
        </w:rPr>
        <w:t xml:space="preserve"> </w:t>
      </w:r>
      <w:r w:rsidR="000D3BED">
        <w:rPr>
          <w:b/>
          <w:bCs/>
          <w:sz w:val="24"/>
        </w:rPr>
        <w:t>10</w:t>
      </w:r>
      <w:r>
        <w:rPr>
          <w:b/>
          <w:bCs/>
          <w:sz w:val="24"/>
        </w:rPr>
        <w:t>.</w:t>
      </w:r>
      <w:r>
        <w:rPr>
          <w:sz w:val="24"/>
        </w:rPr>
        <w:t xml:space="preserve">  A copy of the informed consent shall be provided to the subject or the subject's legally authorized representative. </w:t>
      </w:r>
    </w:p>
    <w:p w:rsidR="009710BF" w:rsidRDefault="000D3BED">
      <w:pPr>
        <w:ind w:left="720"/>
        <w:jc w:val="both"/>
        <w:rPr>
          <w:sz w:val="24"/>
        </w:rPr>
      </w:pPr>
      <w:r>
        <w:rPr>
          <w:b/>
          <w:bCs/>
          <w:sz w:val="24"/>
        </w:rPr>
        <w:t>11</w:t>
      </w:r>
      <w:r w:rsidR="009710BF">
        <w:rPr>
          <w:b/>
          <w:bCs/>
          <w:sz w:val="24"/>
        </w:rPr>
        <w:t>.</w:t>
      </w:r>
      <w:r w:rsidR="009710BF">
        <w:rPr>
          <w:sz w:val="24"/>
        </w:rPr>
        <w:t xml:space="preserve">  Federal law mandates that copies of all consent forms be retained for a</w:t>
      </w:r>
    </w:p>
    <w:p w:rsidR="009710BF" w:rsidRDefault="009710BF">
      <w:pPr>
        <w:pStyle w:val="BodyTextIndent"/>
      </w:pPr>
      <w:r>
        <w:t xml:space="preserve">minimum of three years after completion of the research. The principal investigator is responsible for the maintenance and retention of such records.  If the principal investigator is a student, the faculty sponsor is responsible for the maintenance of </w:t>
      </w:r>
      <w:r>
        <w:lastRenderedPageBreak/>
        <w:t>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602F00" w:rsidP="00602F00">
      <w:pPr>
        <w:ind w:left="720"/>
        <w:jc w:val="both"/>
        <w:rPr>
          <w:sz w:val="24"/>
        </w:rPr>
      </w:pPr>
      <w:r>
        <w:rPr>
          <w:sz w:val="24"/>
        </w:rPr>
        <w:t>I</w:t>
      </w:r>
      <w:r w:rsidR="009710BF">
        <w:rPr>
          <w:sz w:val="24"/>
        </w:rPr>
        <w:t>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0D3BED" w:rsidRDefault="000D3BED" w:rsidP="00602F00">
      <w:pPr>
        <w:ind w:left="720"/>
        <w:jc w:val="both"/>
        <w:rPr>
          <w:sz w:val="24"/>
        </w:rPr>
      </w:pPr>
    </w:p>
    <w:p w:rsidR="00602F00" w:rsidRDefault="00602F00" w:rsidP="00602F00">
      <w:pPr>
        <w:ind w:left="720"/>
        <w:jc w:val="both"/>
        <w:rPr>
          <w:sz w:val="24"/>
        </w:rPr>
      </w:pPr>
      <w:r w:rsidRPr="00602F00">
        <w:rPr>
          <w:b/>
          <w:sz w:val="24"/>
          <w:u w:val="single"/>
        </w:rPr>
        <w:t>Broad consent</w:t>
      </w:r>
      <w:r w:rsidRPr="00602F00">
        <w:rPr>
          <w:sz w:val="24"/>
        </w:rPr>
        <w:t xml:space="preserve"> is a new type of informed consent provided under the revised Common Rule pertaining to storage, maintenance, and secondary research with identifiable private information or identifiable biospecimens. Secondary research refers to research use of materials that are collected for either research studies distinct from the current secondary research proposal, or for materials that are collected for nonresearch purposes, such as materials that are left over from routine clinical diagnosis or treatments. Broad consent does not apply to research that collects information or biospecimens from individuals through direct interaction or intervention specifically for the purpose of the research.</w:t>
      </w:r>
    </w:p>
    <w:p w:rsid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Not all the required elements for standard informed consent are included in broad consent. Under the revised Common Rule, broad consent includes some of the basic elements of informed consent that are required in the standard informed consent (and outlined in 45 CFR 46.116(b) of the revised Common Rule). These include disclosing: reasonably foreseeable risks; reasonably expected benefits to subjects or others; confidentiality safeguards; and that participation is voluntary and may be discontinued without penalty.</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There are also additional elements of informed consent (outlined in 45 CFR 46.116(c) of the revised Common Rule) that are included in the broad consent. These are: when appropriate, a statement about commercial profit and whether subjects will or will not share in it; as well as, when appropriate, whether research might include whole genome sequencing. The basic and additional elements of informed consent that are required in broad consent are outlined in 45 CFR 46.116(d)(1) of the revised Common Rule.</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Broad consent is also required to comply with most of the general elements of informed consent outlined 45 CFR 46.116(a). These include: obtaining informed consent before involving a human subject in a research activity; only seeking informed consent under circumstances that provide the prospective subject sufficient opportunity to discuss and consider whether or not to participate; providing information to potential subjects in a way that is understandable to the subject; providing prospective subjects with all of the information that a reasonable person would want to have in order to make an informed decision about participation; and not including certain types of exculpatory language in informed consent.</w:t>
      </w:r>
    </w:p>
    <w:p w:rsidR="00602F00" w:rsidRPr="00602F00" w:rsidRDefault="00602F00" w:rsidP="00602F00">
      <w:pPr>
        <w:ind w:left="720"/>
        <w:jc w:val="both"/>
        <w:rPr>
          <w:sz w:val="24"/>
        </w:rPr>
      </w:pPr>
    </w:p>
    <w:p w:rsidR="00602F00" w:rsidRDefault="00602F00" w:rsidP="00602F00">
      <w:pPr>
        <w:ind w:left="720"/>
        <w:jc w:val="both"/>
        <w:rPr>
          <w:sz w:val="24"/>
        </w:rPr>
      </w:pPr>
      <w:r w:rsidRPr="00602F00">
        <w:rPr>
          <w:sz w:val="24"/>
        </w:rPr>
        <w:t>In addition to the elements described above, there are elements unique to broad consent found in 45 CFR 46.116(d)(2)-(7). For example, there needs to be a general description of the types of research that may be done, with sufficient information that a reasonable person would expect the broad consent would permit the types of research conducted. There also needs to be a description of the identifiable private information or identifiable biospecimens that might be used, whether they might be shared, and which types of institutions or researchers may use the information or biospecimens for research. There needs to be a description of the period of time the materials may be stored, maintained, or used. Information needs to be provided on who to contact about subject rights, storage and use of materials, and research-related harm. As applicable, broad consent also needs to include a statement that subjects will not be informed about specific studies and that they might have chosen not to consent to some of these studies. As applicable, broad consent needs to include a statement that clinically relevant research results might not be disclosed to the subject. Finally, broad consent needs to include an explanation of whom to contact for answers to questions about the subject’s rights and about storage and use of the subject’s identifiable private information or identifiable biospecimens, and whom to contact in the event of a research related harm.</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lastRenderedPageBreak/>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lastRenderedPageBreak/>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w:t>
      </w:r>
      <w:r>
        <w:rPr>
          <w:sz w:val="24"/>
        </w:rPr>
        <w:lastRenderedPageBreak/>
        <w:t xml:space="preserve">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2B3439">
      <w:pPr>
        <w:pStyle w:val="BodyText"/>
        <w:numPr>
          <w:ilvl w:val="0"/>
          <w:numId w:val="8"/>
        </w:numPr>
      </w:pPr>
      <w:r>
        <w:t>Familiarize themselves with federal guidelines (Belmont Report and HHS 45 CFR 46</w:t>
      </w:r>
      <w:r w:rsidR="000D3BED">
        <w:t>- Common Rule Revised-2018</w:t>
      </w:r>
      <w:r>
        <w:t xml:space="preserve">)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w:t>
      </w:r>
      <w:r w:rsidR="002B3439">
        <w:t xml:space="preserve"> must complete and provide certificate from the CITI training module Basic Refresher</w:t>
      </w:r>
      <w:r w:rsidR="00E13C01">
        <w:t>. 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0D3BED" w:rsidRPr="000D3BED" w:rsidRDefault="000D3BED" w:rsidP="000D3BED">
      <w:pPr>
        <w:pStyle w:val="Title"/>
        <w:jc w:val="left"/>
        <w:rPr>
          <w:b w:val="0"/>
          <w:bCs w:val="0"/>
          <w:sz w:val="24"/>
        </w:rPr>
      </w:pPr>
      <w:r w:rsidRPr="000D3BED">
        <w:rPr>
          <w:b w:val="0"/>
          <w:bCs w:val="0"/>
          <w:sz w:val="24"/>
        </w:rPr>
        <w:t>Under the revised Common Rule, continuing review is not required for:</w:t>
      </w:r>
    </w:p>
    <w:p w:rsidR="000D3BED" w:rsidRPr="000D3BED" w:rsidRDefault="000D3BED" w:rsidP="000D3BED">
      <w:pPr>
        <w:pStyle w:val="Title"/>
        <w:jc w:val="left"/>
        <w:rPr>
          <w:b w:val="0"/>
          <w:bCs w:val="0"/>
          <w:sz w:val="24"/>
        </w:rPr>
      </w:pPr>
      <w:r w:rsidRPr="000D3BED">
        <w:rPr>
          <w:b w:val="0"/>
          <w:bCs w:val="0"/>
          <w:sz w:val="24"/>
        </w:rPr>
        <w:t>•Research that is eligible for expedited review,</w:t>
      </w:r>
    </w:p>
    <w:p w:rsidR="000D3BED" w:rsidRPr="000D3BED" w:rsidRDefault="000D3BED" w:rsidP="000D3BED">
      <w:pPr>
        <w:pStyle w:val="Title"/>
        <w:jc w:val="left"/>
        <w:rPr>
          <w:b w:val="0"/>
          <w:bCs w:val="0"/>
          <w:sz w:val="24"/>
        </w:rPr>
      </w:pPr>
      <w:r w:rsidRPr="000D3BED">
        <w:rPr>
          <w:b w:val="0"/>
          <w:bCs w:val="0"/>
          <w:sz w:val="24"/>
        </w:rPr>
        <w:t>•Exempt research conditioned on limited IRB review,</w:t>
      </w:r>
    </w:p>
    <w:p w:rsidR="000D3BED" w:rsidRPr="000D3BED" w:rsidRDefault="000D3BED" w:rsidP="000D3BED">
      <w:pPr>
        <w:pStyle w:val="Title"/>
        <w:jc w:val="left"/>
        <w:rPr>
          <w:b w:val="0"/>
          <w:bCs w:val="0"/>
          <w:sz w:val="24"/>
        </w:rPr>
      </w:pPr>
      <w:r w:rsidRPr="000D3BED">
        <w:rPr>
          <w:b w:val="0"/>
          <w:bCs w:val="0"/>
          <w:sz w:val="24"/>
        </w:rPr>
        <w:t>•Research that has completed all interventions and now only includes analyzing data, even if the information or biospecimens are identifiable,</w:t>
      </w:r>
    </w:p>
    <w:p w:rsidR="000D3BED" w:rsidRDefault="000D3BED" w:rsidP="000D3BED">
      <w:pPr>
        <w:pStyle w:val="Title"/>
        <w:jc w:val="left"/>
        <w:rPr>
          <w:b w:val="0"/>
          <w:bCs w:val="0"/>
          <w:sz w:val="24"/>
        </w:rPr>
      </w:pPr>
      <w:r w:rsidRPr="000D3BED">
        <w:rPr>
          <w:b w:val="0"/>
          <w:bCs w:val="0"/>
          <w:sz w:val="24"/>
        </w:rPr>
        <w:t>•Research that has completed all interventions and now only includes accessing follow-up clinical data from clinical care procedures.</w:t>
      </w: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w:t>
      </w:r>
      <w:r w:rsidR="00F7595B">
        <w:rPr>
          <w:b w:val="0"/>
          <w:bCs w:val="0"/>
          <w:sz w:val="24"/>
        </w:rPr>
        <w:t xml:space="preserve"> </w:t>
      </w:r>
      <w:r w:rsidR="002B3439">
        <w:rPr>
          <w:b w:val="0"/>
          <w:bCs w:val="0"/>
          <w:sz w:val="24"/>
        </w:rPr>
        <w:t>supporting documents for revie</w:t>
      </w:r>
      <w:r w:rsidR="000D3BED">
        <w:rPr>
          <w:b w:val="0"/>
          <w:bCs w:val="0"/>
          <w:sz w:val="24"/>
        </w:rPr>
        <w:t>w.</w:t>
      </w:r>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325" w:rsidRDefault="00DA3325">
      <w:r>
        <w:separator/>
      </w:r>
    </w:p>
  </w:endnote>
  <w:endnote w:type="continuationSeparator" w:id="0">
    <w:p w:rsidR="00DA3325" w:rsidRDefault="00D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430F1D">
      <w:rPr>
        <w:rStyle w:val="PageNumber"/>
        <w:noProof/>
      </w:rPr>
      <w:t>3</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325" w:rsidRDefault="00DA3325">
      <w:r>
        <w:separator/>
      </w:r>
    </w:p>
  </w:footnote>
  <w:footnote w:type="continuationSeparator" w:id="0">
    <w:p w:rsidR="00DA3325" w:rsidRDefault="00DA3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4796A"/>
    <w:rsid w:val="000D3BED"/>
    <w:rsid w:val="000D4E29"/>
    <w:rsid w:val="001065E0"/>
    <w:rsid w:val="001116EE"/>
    <w:rsid w:val="001441CA"/>
    <w:rsid w:val="00146631"/>
    <w:rsid w:val="00172D7A"/>
    <w:rsid w:val="001A35A5"/>
    <w:rsid w:val="001B544F"/>
    <w:rsid w:val="001C0EF6"/>
    <w:rsid w:val="001D2F49"/>
    <w:rsid w:val="001E58F5"/>
    <w:rsid w:val="001F0424"/>
    <w:rsid w:val="00203427"/>
    <w:rsid w:val="0023364F"/>
    <w:rsid w:val="002601F6"/>
    <w:rsid w:val="002B3439"/>
    <w:rsid w:val="002C74CC"/>
    <w:rsid w:val="002D6B65"/>
    <w:rsid w:val="00300398"/>
    <w:rsid w:val="00316FD0"/>
    <w:rsid w:val="00350CA3"/>
    <w:rsid w:val="003E3D29"/>
    <w:rsid w:val="00424113"/>
    <w:rsid w:val="00430F1D"/>
    <w:rsid w:val="00475B6C"/>
    <w:rsid w:val="004D32FC"/>
    <w:rsid w:val="004D7720"/>
    <w:rsid w:val="004F088C"/>
    <w:rsid w:val="004F2F57"/>
    <w:rsid w:val="00523682"/>
    <w:rsid w:val="00535B3D"/>
    <w:rsid w:val="00563475"/>
    <w:rsid w:val="0059330A"/>
    <w:rsid w:val="00594E5C"/>
    <w:rsid w:val="00596FD1"/>
    <w:rsid w:val="005D0DF9"/>
    <w:rsid w:val="00602F00"/>
    <w:rsid w:val="00623BC1"/>
    <w:rsid w:val="006A45DC"/>
    <w:rsid w:val="006A7074"/>
    <w:rsid w:val="006D1DE2"/>
    <w:rsid w:val="006D7D6D"/>
    <w:rsid w:val="006E1197"/>
    <w:rsid w:val="006F02FC"/>
    <w:rsid w:val="0070200C"/>
    <w:rsid w:val="007115FD"/>
    <w:rsid w:val="007270E2"/>
    <w:rsid w:val="00745F3D"/>
    <w:rsid w:val="0075699E"/>
    <w:rsid w:val="00790411"/>
    <w:rsid w:val="007C2518"/>
    <w:rsid w:val="007D503E"/>
    <w:rsid w:val="007E5159"/>
    <w:rsid w:val="007E7D21"/>
    <w:rsid w:val="00823395"/>
    <w:rsid w:val="00853840"/>
    <w:rsid w:val="0085414B"/>
    <w:rsid w:val="0086504F"/>
    <w:rsid w:val="00866D33"/>
    <w:rsid w:val="00871FBB"/>
    <w:rsid w:val="00882ABA"/>
    <w:rsid w:val="0089594F"/>
    <w:rsid w:val="008C5C98"/>
    <w:rsid w:val="008F77BB"/>
    <w:rsid w:val="009009EE"/>
    <w:rsid w:val="00903642"/>
    <w:rsid w:val="00936DEF"/>
    <w:rsid w:val="009710BF"/>
    <w:rsid w:val="00982BBD"/>
    <w:rsid w:val="009A7B0B"/>
    <w:rsid w:val="009E67C1"/>
    <w:rsid w:val="00A03133"/>
    <w:rsid w:val="00A17736"/>
    <w:rsid w:val="00A50255"/>
    <w:rsid w:val="00A528D0"/>
    <w:rsid w:val="00AC5DCE"/>
    <w:rsid w:val="00B7360A"/>
    <w:rsid w:val="00B833BF"/>
    <w:rsid w:val="00BC3721"/>
    <w:rsid w:val="00C1701D"/>
    <w:rsid w:val="00C35472"/>
    <w:rsid w:val="00C54941"/>
    <w:rsid w:val="00CB1A83"/>
    <w:rsid w:val="00D0344C"/>
    <w:rsid w:val="00D445F1"/>
    <w:rsid w:val="00D45DF2"/>
    <w:rsid w:val="00DA3325"/>
    <w:rsid w:val="00DD58DA"/>
    <w:rsid w:val="00E05109"/>
    <w:rsid w:val="00E13C01"/>
    <w:rsid w:val="00E56BCA"/>
    <w:rsid w:val="00E90796"/>
    <w:rsid w:val="00F3487F"/>
    <w:rsid w:val="00F7595B"/>
    <w:rsid w:val="00F87C36"/>
    <w:rsid w:val="00FE1300"/>
    <w:rsid w:val="00FE4729"/>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06CC5A"/>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 w:type="paragraph" w:styleId="ListParagraph">
    <w:name w:val="List Paragraph"/>
    <w:basedOn w:val="Normal"/>
    <w:uiPriority w:val="34"/>
    <w:qFormat/>
    <w:rsid w:val="001B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7714</Words>
  <Characters>43971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51582</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3</cp:revision>
  <cp:lastPrinted>2011-02-28T21:35:00Z</cp:lastPrinted>
  <dcterms:created xsi:type="dcterms:W3CDTF">2021-09-02T12:38:00Z</dcterms:created>
  <dcterms:modified xsi:type="dcterms:W3CDTF">2021-10-18T17:19:00Z</dcterms:modified>
</cp:coreProperties>
</file>