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A2" w:rsidRDefault="007B73A2" w:rsidP="007B73A2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7B73A2" w:rsidRPr="002C25E4" w:rsidRDefault="007B73A2" w:rsidP="007B73A2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2C25E4">
        <w:rPr>
          <w:rFonts w:ascii="Times New Roman" w:hAnsi="Times New Roman"/>
          <w:sz w:val="24"/>
          <w:szCs w:val="24"/>
          <w:u w:val="single"/>
        </w:rPr>
        <w:t>GE Standard VII: Student Learning Outcome VII Standard</w:t>
      </w:r>
    </w:p>
    <w:p w:rsidR="007B73A2" w:rsidRPr="002C25E4" w:rsidRDefault="007B73A2" w:rsidP="007B73A2">
      <w:pPr>
        <w:jc w:val="both"/>
        <w:rPr>
          <w:rFonts w:ascii="Times New Roman" w:hAnsi="Times New Roman"/>
          <w:sz w:val="24"/>
          <w:szCs w:val="24"/>
        </w:rPr>
      </w:pPr>
    </w:p>
    <w:p w:rsidR="007B73A2" w:rsidRPr="002C25E4" w:rsidRDefault="007B73A2" w:rsidP="007B73A2">
      <w:pPr>
        <w:jc w:val="both"/>
        <w:rPr>
          <w:rFonts w:ascii="Times New Roman" w:hAnsi="Times New Roman"/>
          <w:sz w:val="24"/>
          <w:szCs w:val="24"/>
        </w:rPr>
      </w:pPr>
      <w:r w:rsidRPr="002C25E4">
        <w:rPr>
          <w:rFonts w:ascii="Times New Roman" w:hAnsi="Times New Roman"/>
          <w:sz w:val="24"/>
          <w:szCs w:val="24"/>
        </w:rPr>
        <w:t xml:space="preserve">Courses seeking to meet the Student Learning Outcome VII Standard must certify by qualifying under the Matrix of Certification that follows. </w:t>
      </w:r>
    </w:p>
    <w:p w:rsidR="007B73A2" w:rsidRDefault="007B73A2" w:rsidP="007B73A2">
      <w:pPr>
        <w:rPr>
          <w:rFonts w:ascii="Trebuchet MS" w:hAnsi="Trebuchet MS"/>
          <w:b/>
        </w:rPr>
      </w:pPr>
    </w:p>
    <w:p w:rsidR="007B73A2" w:rsidRDefault="007B73A2" w:rsidP="007B73A2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General Education Committee – SLO VII Matrix for Certification</w:t>
      </w:r>
    </w:p>
    <w:p w:rsidR="007B73A2" w:rsidRDefault="007B73A2" w:rsidP="007B73A2">
      <w:pPr>
        <w:spacing w:after="0" w:line="240" w:lineRule="auto"/>
        <w:rPr>
          <w:rFonts w:ascii="Trebuchet MS" w:hAnsi="Trebuchet MS"/>
          <w:b/>
        </w:rPr>
      </w:pPr>
    </w:p>
    <w:p w:rsidR="007B73A2" w:rsidRPr="00664DE2" w:rsidRDefault="007B73A2" w:rsidP="007B73A2">
      <w:pPr>
        <w:spacing w:after="0" w:line="240" w:lineRule="auto"/>
        <w:rPr>
          <w:rFonts w:ascii="Trebuchet MS" w:hAnsi="Trebuchet MS"/>
          <w:b/>
        </w:rPr>
      </w:pPr>
    </w:p>
    <w:p w:rsidR="007B73A2" w:rsidRDefault="007B73A2" w:rsidP="007B73A2">
      <w:pPr>
        <w:spacing w:after="0" w:line="240" w:lineRule="auto"/>
        <w:rPr>
          <w:rFonts w:ascii="Trebuchet MS" w:hAnsi="Trebuchet MS"/>
          <w:b/>
        </w:rPr>
      </w:pPr>
    </w:p>
    <w:p w:rsidR="007B73A2" w:rsidRDefault="007B73A2" w:rsidP="007B73A2">
      <w:pPr>
        <w:spacing w:after="0" w:line="240" w:lineRule="auto"/>
        <w:rPr>
          <w:rFonts w:ascii="Trebuchet MS" w:hAnsi="Trebuchet MS"/>
          <w:b/>
        </w:rPr>
      </w:pPr>
      <w:r w:rsidRPr="00C05BFF">
        <w:rPr>
          <w:rFonts w:ascii="Trebuchet MS" w:hAnsi="Trebuchet MS"/>
          <w:b/>
        </w:rPr>
        <w:t xml:space="preserve">If courses applying for SLO VII General Education certification do not meet the following requirements (all boxes must receive </w:t>
      </w:r>
      <w:proofErr w:type="gramStart"/>
      <w:r w:rsidRPr="00C05BFF">
        <w:rPr>
          <w:rFonts w:ascii="Trebuchet MS" w:hAnsi="Trebuchet MS"/>
          <w:b/>
        </w:rPr>
        <w:t xml:space="preserve">a </w:t>
      </w:r>
      <w:proofErr w:type="gramEnd"/>
      <w:r>
        <w:rPr>
          <w:rFonts w:ascii="Trebuchet MS" w:hAnsi="Trebuchet MS"/>
          <w:b/>
        </w:rPr>
        <w:sym w:font="Symbol" w:char="F0D6"/>
      </w:r>
      <w:r w:rsidR="00E85009">
        <w:rPr>
          <w:rFonts w:ascii="Trebuchet MS" w:hAnsi="Trebuchet MS"/>
          <w:b/>
        </w:rPr>
        <w:t>), they</w:t>
      </w:r>
      <w:r w:rsidRPr="00C05BFF">
        <w:rPr>
          <w:rFonts w:ascii="Trebuchet MS" w:hAnsi="Trebuchet MS"/>
          <w:b/>
        </w:rPr>
        <w:t xml:space="preserve"> will not advance through the review process:</w:t>
      </w:r>
    </w:p>
    <w:p w:rsidR="007B73A2" w:rsidRDefault="007B73A2" w:rsidP="007B73A2">
      <w:pPr>
        <w:spacing w:after="0" w:line="240" w:lineRule="auto"/>
        <w:rPr>
          <w:rFonts w:ascii="Trebuchet MS" w:hAnsi="Trebuchet MS"/>
          <w:b/>
        </w:rPr>
      </w:pPr>
    </w:p>
    <w:p w:rsidR="007B73A2" w:rsidRDefault="007B73A2" w:rsidP="007B73A2">
      <w:pPr>
        <w:spacing w:after="0" w:line="240" w:lineRule="auto"/>
        <w:rPr>
          <w:rFonts w:ascii="Trebuchet MS" w:hAnsi="Trebuchet MS"/>
          <w:b/>
        </w:rPr>
      </w:pPr>
    </w:p>
    <w:p w:rsidR="00FB4ADE" w:rsidRDefault="00FB4ADE" w:rsidP="00FB4ADE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Course must be offered through the College of Health Sciences</w:t>
      </w:r>
    </w:p>
    <w:p w:rsidR="00AA685B" w:rsidRDefault="00AA685B" w:rsidP="00AA685B">
      <w:pPr>
        <w:pStyle w:val="ListParagraph"/>
        <w:numPr>
          <w:ilvl w:val="1"/>
          <w:numId w:val="3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In the interest of promoting ESUs </w:t>
      </w:r>
      <w:r w:rsidR="000C49AC">
        <w:rPr>
          <w:rFonts w:ascii="Trebuchet MS" w:hAnsi="Trebuchet MS"/>
        </w:rPr>
        <w:t xml:space="preserve">co-teaching model/philosophy, </w:t>
      </w:r>
      <w:r>
        <w:rPr>
          <w:rFonts w:ascii="Trebuchet MS" w:hAnsi="Trebuchet MS"/>
        </w:rPr>
        <w:t>cross-listed and co-taug</w:t>
      </w:r>
      <w:r w:rsidR="000C49AC">
        <w:rPr>
          <w:rFonts w:ascii="Trebuchet MS" w:hAnsi="Trebuchet MS"/>
        </w:rPr>
        <w:t>ht course</w:t>
      </w:r>
      <w:r w:rsidR="008E7FAA">
        <w:rPr>
          <w:rFonts w:ascii="Trebuchet MS" w:hAnsi="Trebuchet MS"/>
        </w:rPr>
        <w:t>s</w:t>
      </w:r>
      <w:r w:rsidR="000C49AC">
        <w:rPr>
          <w:rFonts w:ascii="Trebuchet MS" w:hAnsi="Trebuchet MS"/>
        </w:rPr>
        <w:t xml:space="preserve"> will be considered if </w:t>
      </w:r>
      <w:r w:rsidR="0091742C">
        <w:rPr>
          <w:rFonts w:ascii="Trebuchet MS" w:hAnsi="Trebuchet MS"/>
        </w:rPr>
        <w:t xml:space="preserve">the course is listed </w:t>
      </w:r>
      <w:r w:rsidR="00C63DE0">
        <w:rPr>
          <w:rFonts w:ascii="Trebuchet MS" w:hAnsi="Trebuchet MS"/>
        </w:rPr>
        <w:t>in the College of Health Sciences</w:t>
      </w:r>
      <w:r w:rsidR="004721BB">
        <w:rPr>
          <w:rFonts w:ascii="Trebuchet MS" w:hAnsi="Trebuchet MS"/>
        </w:rPr>
        <w:t xml:space="preserve"> and one of the assigned faculty is from the College of Health Sciences.</w:t>
      </w:r>
    </w:p>
    <w:p w:rsidR="00C93C4F" w:rsidRDefault="00C93C4F" w:rsidP="00C93C4F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Course must include key assessments that conspicuously address SLO VII and the aligned health-wellness related topics (see matrix)</w:t>
      </w:r>
    </w:p>
    <w:p w:rsidR="00C93C4F" w:rsidRPr="00C93C4F" w:rsidRDefault="00C93C4F" w:rsidP="00C93C4F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Course must include self-evaluative instruments that conspicuously address SLO VII and the aligned health-wellness related topics (see matrix)</w:t>
      </w:r>
    </w:p>
    <w:p w:rsidR="00425FD0" w:rsidRPr="008E7FAA" w:rsidRDefault="00B205FF" w:rsidP="00425FD0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hAnsi="Trebuchet MS"/>
        </w:rPr>
      </w:pPr>
      <w:r w:rsidRPr="00425FD0">
        <w:rPr>
          <w:rFonts w:ascii="Trebuchet MS" w:hAnsi="Trebuchet MS"/>
        </w:rPr>
        <w:t xml:space="preserve">Course must </w:t>
      </w:r>
      <w:r w:rsidR="008E7FAA" w:rsidRPr="00425FD0">
        <w:rPr>
          <w:rFonts w:ascii="Trebuchet MS" w:hAnsi="Trebuchet MS"/>
        </w:rPr>
        <w:t xml:space="preserve">include a physical activity component that is faculty led, and must be able to </w:t>
      </w:r>
      <w:r w:rsidRPr="00425FD0">
        <w:rPr>
          <w:rFonts w:ascii="Trebuchet MS" w:hAnsi="Trebuchet MS"/>
        </w:rPr>
        <w:t>demonstrate</w:t>
      </w:r>
      <w:r w:rsidR="008E7FAA" w:rsidRPr="00425FD0">
        <w:rPr>
          <w:rFonts w:ascii="Trebuchet MS" w:hAnsi="Trebuchet MS"/>
        </w:rPr>
        <w:t xml:space="preserve"> </w:t>
      </w:r>
      <w:r w:rsidR="00A027B6" w:rsidRPr="00425FD0">
        <w:rPr>
          <w:rFonts w:ascii="Trebuchet MS" w:hAnsi="Trebuchet MS"/>
        </w:rPr>
        <w:t xml:space="preserve">student participation in </w:t>
      </w:r>
      <w:r w:rsidR="008E7FAA" w:rsidRPr="00425FD0">
        <w:rPr>
          <w:rFonts w:ascii="Trebuchet MS" w:hAnsi="Trebuchet MS"/>
        </w:rPr>
        <w:t xml:space="preserve">faculty-led physical activities that explore </w:t>
      </w:r>
      <w:r w:rsidR="00A027B6" w:rsidRPr="00425FD0">
        <w:rPr>
          <w:rFonts w:ascii="Trebuchet MS" w:hAnsi="Trebuchet MS"/>
        </w:rPr>
        <w:t>the health-related components of physical fitness</w:t>
      </w:r>
      <w:r w:rsidR="00C05BFF" w:rsidRPr="00425FD0">
        <w:rPr>
          <w:rFonts w:ascii="Trebuchet MS" w:hAnsi="Trebuchet MS"/>
        </w:rPr>
        <w:t xml:space="preserve"> (numbered as 1 on matrix).</w:t>
      </w:r>
      <w:r w:rsidR="00AC4EBD" w:rsidRPr="00425FD0">
        <w:rPr>
          <w:rFonts w:ascii="Trebuchet MS" w:hAnsi="Trebuchet MS"/>
        </w:rPr>
        <w:t xml:space="preserve"> </w:t>
      </w:r>
      <w:r w:rsidR="00425FD0">
        <w:rPr>
          <w:rFonts w:ascii="Trebuchet MS" w:hAnsi="Trebuchet MS"/>
        </w:rPr>
        <w:t xml:space="preserve">As a guideline, a faculty member offering an SLO VII course is asked to consider devoting the appropriate percentage of their course to physical activity as determined by the matrix below. For example, a faculty member choosing 5 health areas below is asked to consider devoting 20% of their course to a physical activity component. </w:t>
      </w:r>
    </w:p>
    <w:p w:rsidR="00FB4ADE" w:rsidRPr="00425FD0" w:rsidRDefault="0092521C" w:rsidP="00D1344E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hAnsi="Trebuchet MS"/>
        </w:rPr>
      </w:pPr>
      <w:bookmarkStart w:id="0" w:name="_GoBack"/>
      <w:bookmarkEnd w:id="0"/>
      <w:r w:rsidRPr="00425FD0">
        <w:rPr>
          <w:rFonts w:ascii="Trebuchet MS" w:hAnsi="Trebuchet MS"/>
        </w:rPr>
        <w:t>Course must include</w:t>
      </w:r>
      <w:r w:rsidR="00FB4ADE" w:rsidRPr="00425FD0">
        <w:rPr>
          <w:rFonts w:ascii="Trebuchet MS" w:hAnsi="Trebuchet MS"/>
        </w:rPr>
        <w:t xml:space="preserve"> essential content demonstrating attention to health literacy</w:t>
      </w:r>
      <w:r w:rsidR="00C05BFF" w:rsidRPr="00425FD0">
        <w:rPr>
          <w:rFonts w:ascii="Trebuchet MS" w:hAnsi="Trebuchet MS"/>
        </w:rPr>
        <w:t xml:space="preserve"> (numbered as 2 on matrix).</w:t>
      </w:r>
    </w:p>
    <w:p w:rsidR="00AA685B" w:rsidRDefault="000C49AC" w:rsidP="00FB4ADE">
      <w:pPr>
        <w:pStyle w:val="ListParagraph"/>
        <w:numPr>
          <w:ilvl w:val="0"/>
          <w:numId w:val="3"/>
        </w:num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t>Course must include an additional 3 of 7</w:t>
      </w:r>
      <w:r w:rsidR="00C05BFF">
        <w:rPr>
          <w:rFonts w:ascii="Trebuchet MS" w:hAnsi="Trebuchet MS"/>
        </w:rPr>
        <w:t xml:space="preserve"> health-related content areas</w:t>
      </w:r>
      <w:r w:rsidR="0092521C">
        <w:rPr>
          <w:rFonts w:ascii="Trebuchet MS" w:hAnsi="Trebuchet MS"/>
        </w:rPr>
        <w:t xml:space="preserve"> (</w:t>
      </w:r>
      <w:r w:rsidR="00C05BFF">
        <w:rPr>
          <w:rFonts w:ascii="Trebuchet MS" w:hAnsi="Trebuchet MS"/>
        </w:rPr>
        <w:t>numbered as 3 - 9 on the matrix</w:t>
      </w:r>
      <w:r w:rsidR="0092521C">
        <w:rPr>
          <w:rFonts w:ascii="Trebuchet MS" w:hAnsi="Trebuchet MS"/>
        </w:rPr>
        <w:t>)</w:t>
      </w:r>
      <w:r w:rsidR="00AA685B">
        <w:rPr>
          <w:rFonts w:ascii="Trebuchet MS" w:hAnsi="Trebuchet MS"/>
        </w:rPr>
        <w:t xml:space="preserve">. </w:t>
      </w:r>
    </w:p>
    <w:p w:rsidR="00C218FB" w:rsidRPr="000C49AC" w:rsidRDefault="00C218FB" w:rsidP="000C49AC">
      <w:pPr>
        <w:spacing w:after="0" w:line="240" w:lineRule="auto"/>
        <w:rPr>
          <w:rFonts w:ascii="Trebuchet MS" w:hAnsi="Trebuchet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8174"/>
      </w:tblGrid>
      <w:tr w:rsidR="000C49AC" w:rsidTr="007A00EC">
        <w:tc>
          <w:tcPr>
            <w:tcW w:w="14390" w:type="dxa"/>
            <w:gridSpan w:val="2"/>
          </w:tcPr>
          <w:p w:rsidR="004E1667" w:rsidRDefault="004E1667" w:rsidP="004E1667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6C20F3" w:rsidRPr="004E1667" w:rsidRDefault="000C49AC" w:rsidP="0096090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C20F3">
              <w:rPr>
                <w:rFonts w:ascii="Trebuchet MS" w:hAnsi="Trebuchet MS"/>
                <w:b/>
                <w:sz w:val="24"/>
                <w:szCs w:val="24"/>
              </w:rPr>
              <w:t xml:space="preserve">The following </w:t>
            </w:r>
            <w:r w:rsidR="00BA390C">
              <w:rPr>
                <w:rFonts w:ascii="Trebuchet MS" w:hAnsi="Trebuchet MS"/>
                <w:b/>
                <w:sz w:val="24"/>
                <w:szCs w:val="24"/>
              </w:rPr>
              <w:t>two hea</w:t>
            </w:r>
            <w:r w:rsidR="00C05BFF">
              <w:rPr>
                <w:rFonts w:ascii="Trebuchet MS" w:hAnsi="Trebuchet MS"/>
                <w:b/>
                <w:sz w:val="24"/>
                <w:szCs w:val="24"/>
              </w:rPr>
              <w:t>lth- and wellness-related content areas</w:t>
            </w:r>
            <w:r w:rsidR="00BA390C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96090B">
              <w:rPr>
                <w:rFonts w:ascii="Trebuchet MS" w:hAnsi="Trebuchet MS"/>
                <w:b/>
                <w:sz w:val="24"/>
                <w:szCs w:val="24"/>
              </w:rPr>
              <w:t xml:space="preserve">MUST be included in any course </w:t>
            </w:r>
            <w:r w:rsidRPr="006C20F3">
              <w:rPr>
                <w:rFonts w:ascii="Trebuchet MS" w:hAnsi="Trebuchet MS"/>
                <w:b/>
                <w:sz w:val="24"/>
                <w:szCs w:val="24"/>
              </w:rPr>
              <w:t>applying</w:t>
            </w:r>
            <w:r w:rsidR="0096090B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6C20F3">
              <w:rPr>
                <w:rFonts w:ascii="Trebuchet MS" w:hAnsi="Trebuchet MS"/>
                <w:b/>
                <w:sz w:val="24"/>
                <w:szCs w:val="24"/>
              </w:rPr>
              <w:t>for General Education - SLO VII status</w:t>
            </w:r>
            <w:r w:rsidR="00C05BFF">
              <w:rPr>
                <w:rFonts w:ascii="Trebuchet MS" w:hAnsi="Trebuchet MS"/>
                <w:b/>
                <w:sz w:val="24"/>
                <w:szCs w:val="24"/>
              </w:rPr>
              <w:t>.</w:t>
            </w:r>
          </w:p>
        </w:tc>
      </w:tr>
      <w:tr w:rsidR="008E7FAA" w:rsidTr="009D3774">
        <w:tc>
          <w:tcPr>
            <w:tcW w:w="2878" w:type="dxa"/>
          </w:tcPr>
          <w:p w:rsidR="00C93C4F" w:rsidRPr="008E7FAA" w:rsidRDefault="00A027B6" w:rsidP="006929E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</w:rPr>
            </w:pPr>
            <w:r w:rsidRPr="008E7FAA">
              <w:rPr>
                <w:rFonts w:ascii="Trebuchet MS" w:hAnsi="Trebuchet MS"/>
                <w:b/>
              </w:rPr>
              <w:t>Health-related components of physical fitness</w:t>
            </w:r>
          </w:p>
          <w:p w:rsidR="00A027B6" w:rsidRPr="008E7FAA" w:rsidRDefault="00A027B6" w:rsidP="00A027B6">
            <w:pPr>
              <w:pStyle w:val="ListParagraph"/>
              <w:numPr>
                <w:ilvl w:val="0"/>
                <w:numId w:val="27"/>
              </w:numPr>
              <w:rPr>
                <w:rFonts w:ascii="Trebuchet MS" w:hAnsi="Trebuchet MS"/>
                <w:sz w:val="20"/>
                <w:szCs w:val="20"/>
              </w:rPr>
            </w:pPr>
            <w:r w:rsidRPr="008E7FAA">
              <w:rPr>
                <w:rFonts w:ascii="Trebuchet MS" w:hAnsi="Trebuchet MS"/>
                <w:sz w:val="20"/>
                <w:szCs w:val="20"/>
              </w:rPr>
              <w:t>Faculty-led, student participation in the health-related components of physical fitness must be apparent.</w:t>
            </w:r>
          </w:p>
          <w:p w:rsidR="00C93C4F" w:rsidRPr="008E7FAA" w:rsidRDefault="00C93C4F" w:rsidP="006929EF">
            <w:pPr>
              <w:pStyle w:val="ListParagraph"/>
              <w:numPr>
                <w:ilvl w:val="0"/>
                <w:numId w:val="10"/>
              </w:numPr>
              <w:rPr>
                <w:rFonts w:ascii="Trebuchet MS" w:hAnsi="Trebuchet MS"/>
                <w:sz w:val="20"/>
                <w:szCs w:val="20"/>
              </w:rPr>
            </w:pPr>
            <w:r w:rsidRPr="008E7FAA">
              <w:rPr>
                <w:rFonts w:ascii="Trebuchet MS" w:hAnsi="Trebuchet MS"/>
                <w:b/>
                <w:sz w:val="20"/>
                <w:szCs w:val="20"/>
              </w:rPr>
              <w:t>Examples</w:t>
            </w:r>
            <w:r w:rsidRPr="008E7FAA">
              <w:rPr>
                <w:rFonts w:ascii="Trebuchet MS" w:hAnsi="Trebuchet MS"/>
                <w:sz w:val="20"/>
                <w:szCs w:val="20"/>
              </w:rPr>
              <w:t xml:space="preserve"> of essential content might include:</w:t>
            </w:r>
          </w:p>
          <w:p w:rsidR="00C93C4F" w:rsidRPr="008E7FAA" w:rsidRDefault="00C93C4F" w:rsidP="000C49AC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0"/>
                <w:szCs w:val="20"/>
              </w:rPr>
            </w:pPr>
            <w:r w:rsidRPr="008E7FAA">
              <w:rPr>
                <w:rFonts w:ascii="Trebuchet MS" w:hAnsi="Trebuchet MS"/>
                <w:sz w:val="20"/>
                <w:szCs w:val="20"/>
              </w:rPr>
              <w:t>Health-related components of physical fitness;</w:t>
            </w:r>
          </w:p>
          <w:p w:rsidR="00C93C4F" w:rsidRPr="008E7FAA" w:rsidRDefault="00C93C4F" w:rsidP="000C49AC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  <w:sz w:val="20"/>
                <w:szCs w:val="20"/>
              </w:rPr>
            </w:pPr>
            <w:r w:rsidRPr="008E7FAA">
              <w:rPr>
                <w:rFonts w:ascii="Trebuchet MS" w:hAnsi="Trebuchet MS"/>
                <w:sz w:val="20"/>
                <w:szCs w:val="20"/>
              </w:rPr>
              <w:lastRenderedPageBreak/>
              <w:t>Physical activity and chronic disease;</w:t>
            </w:r>
          </w:p>
          <w:p w:rsidR="00C93C4F" w:rsidRPr="008E7FAA" w:rsidRDefault="00C93C4F" w:rsidP="000C49AC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</w:rPr>
            </w:pPr>
            <w:r w:rsidRPr="008E7FAA">
              <w:rPr>
                <w:rFonts w:ascii="Trebuchet MS" w:hAnsi="Trebuchet MS"/>
                <w:sz w:val="20"/>
                <w:szCs w:val="20"/>
              </w:rPr>
              <w:t>Principles of fitness (e.g. overload, progression, rest and recovery, etc.);</w:t>
            </w:r>
          </w:p>
          <w:p w:rsidR="00C93C4F" w:rsidRPr="008E7FAA" w:rsidRDefault="00C93C4F" w:rsidP="004E1667">
            <w:pPr>
              <w:pStyle w:val="ListParagraph"/>
              <w:numPr>
                <w:ilvl w:val="0"/>
                <w:numId w:val="13"/>
              </w:numPr>
              <w:rPr>
                <w:rFonts w:ascii="Trebuchet MS" w:hAnsi="Trebuchet MS"/>
              </w:rPr>
            </w:pPr>
            <w:r w:rsidRPr="008E7FAA">
              <w:rPr>
                <w:rFonts w:ascii="Trebuchet MS" w:hAnsi="Trebuchet MS"/>
                <w:sz w:val="20"/>
                <w:szCs w:val="20"/>
              </w:rPr>
              <w:t>Skill-related components of physical fitness.</w:t>
            </w:r>
          </w:p>
        </w:tc>
        <w:tc>
          <w:tcPr>
            <w:tcW w:w="11512" w:type="dxa"/>
          </w:tcPr>
          <w:p w:rsidR="00C93C4F" w:rsidRPr="008E7FAA" w:rsidRDefault="009215FF" w:rsidP="0096090B">
            <w:pPr>
              <w:pStyle w:val="ListParagraph"/>
              <w:numPr>
                <w:ilvl w:val="0"/>
                <w:numId w:val="28"/>
              </w:numPr>
              <w:rPr>
                <w:rFonts w:ascii="Trebuchet MS" w:hAnsi="Trebuchet MS"/>
                <w:i/>
                <w:sz w:val="20"/>
                <w:szCs w:val="20"/>
              </w:rPr>
            </w:pPr>
            <w:r w:rsidRPr="008E7FAA">
              <w:rPr>
                <w:rFonts w:ascii="Trebuchet MS" w:hAnsi="Trebuchet MS"/>
                <w:i/>
                <w:sz w:val="20"/>
                <w:szCs w:val="20"/>
              </w:rPr>
              <w:lastRenderedPageBreak/>
              <w:t>In the space below, b</w:t>
            </w:r>
            <w:r w:rsidR="00C93C4F" w:rsidRPr="008E7FAA">
              <w:rPr>
                <w:rFonts w:ascii="Trebuchet MS" w:hAnsi="Trebuchet MS"/>
                <w:i/>
                <w:sz w:val="20"/>
                <w:szCs w:val="20"/>
              </w:rPr>
              <w:t>riefly list and describe those key assessments and self-evaluativ</w:t>
            </w:r>
            <w:r w:rsidRPr="008E7FAA">
              <w:rPr>
                <w:rFonts w:ascii="Trebuchet MS" w:hAnsi="Trebuchet MS"/>
                <w:i/>
                <w:sz w:val="20"/>
                <w:szCs w:val="20"/>
              </w:rPr>
              <w:t>e instruments that</w:t>
            </w:r>
            <w:r w:rsidR="00510288" w:rsidRPr="008E7FAA">
              <w:rPr>
                <w:rFonts w:ascii="Trebuchet MS" w:hAnsi="Trebuchet MS"/>
                <w:i/>
                <w:sz w:val="20"/>
                <w:szCs w:val="20"/>
              </w:rPr>
              <w:t xml:space="preserve"> address</w:t>
            </w:r>
            <w:r w:rsidR="0096090B" w:rsidRPr="008E7FAA">
              <w:rPr>
                <w:rFonts w:ascii="Trebuchet MS" w:hAnsi="Trebuchet MS"/>
                <w:i/>
                <w:sz w:val="20"/>
                <w:szCs w:val="20"/>
              </w:rPr>
              <w:t xml:space="preserve"> the health-related components of physical fitness.</w:t>
            </w:r>
          </w:p>
          <w:p w:rsidR="00510288" w:rsidRPr="008E7FAA" w:rsidRDefault="00510288" w:rsidP="004C5F4A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510288" w:rsidRPr="008E7FAA" w:rsidRDefault="00510288" w:rsidP="004C5F4A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510288" w:rsidRPr="008E7FAA" w:rsidRDefault="00510288" w:rsidP="004C5F4A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510288" w:rsidRPr="008E7FAA" w:rsidRDefault="00510288" w:rsidP="004C5F4A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510288" w:rsidRPr="008E7FAA" w:rsidRDefault="00510288" w:rsidP="004C5F4A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510288" w:rsidRPr="008E7FAA" w:rsidRDefault="00510288" w:rsidP="004C5F4A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510288" w:rsidRPr="008E7FAA" w:rsidRDefault="00510288" w:rsidP="004C5F4A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96090B" w:rsidRPr="008E7FAA" w:rsidRDefault="0096090B" w:rsidP="004C5F4A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510288" w:rsidRPr="008E7FAA" w:rsidRDefault="00510288" w:rsidP="004C5F4A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510288" w:rsidRPr="008E7FAA" w:rsidRDefault="008E7FAA" w:rsidP="00510288">
            <w:pPr>
              <w:pStyle w:val="ListParagraph"/>
              <w:numPr>
                <w:ilvl w:val="0"/>
                <w:numId w:val="26"/>
              </w:numPr>
              <w:rPr>
                <w:rFonts w:ascii="Trebuchet MS" w:hAnsi="Trebuchet MS"/>
                <w:i/>
                <w:sz w:val="20"/>
                <w:szCs w:val="20"/>
              </w:rPr>
            </w:pPr>
            <w:r w:rsidRPr="008E7FAA">
              <w:rPr>
                <w:rFonts w:ascii="Trebuchet MS" w:hAnsi="Trebuchet MS"/>
                <w:i/>
                <w:sz w:val="20"/>
                <w:szCs w:val="20"/>
              </w:rPr>
              <w:t xml:space="preserve">In the space below, explain </w:t>
            </w:r>
            <w:r w:rsidR="009E6FB3" w:rsidRPr="008E7FAA">
              <w:rPr>
                <w:rFonts w:ascii="Trebuchet MS" w:hAnsi="Trebuchet MS"/>
                <w:i/>
                <w:sz w:val="20"/>
                <w:szCs w:val="20"/>
              </w:rPr>
              <w:t>how this course</w:t>
            </w:r>
            <w:r w:rsidRPr="008E7FAA">
              <w:rPr>
                <w:rFonts w:ascii="Trebuchet MS" w:hAnsi="Trebuchet MS"/>
                <w:i/>
                <w:sz w:val="20"/>
                <w:szCs w:val="20"/>
              </w:rPr>
              <w:t xml:space="preserve"> incorporates</w:t>
            </w:r>
            <w:r w:rsidR="009E6FB3" w:rsidRPr="008E7FAA"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8E7FAA">
              <w:rPr>
                <w:rFonts w:ascii="Trebuchet MS" w:hAnsi="Trebuchet MS"/>
                <w:i/>
                <w:sz w:val="20"/>
                <w:szCs w:val="20"/>
              </w:rPr>
              <w:t xml:space="preserve">student participation in faculty-led physical activities </w:t>
            </w:r>
            <w:r w:rsidR="009E6FB3" w:rsidRPr="008E7FAA">
              <w:rPr>
                <w:rFonts w:ascii="Trebuchet MS" w:hAnsi="Trebuchet MS"/>
                <w:i/>
                <w:sz w:val="20"/>
                <w:szCs w:val="20"/>
              </w:rPr>
              <w:t xml:space="preserve">in </w:t>
            </w:r>
            <w:r w:rsidRPr="008E7FAA">
              <w:rPr>
                <w:rFonts w:ascii="Trebuchet MS" w:hAnsi="Trebuchet MS"/>
                <w:i/>
                <w:sz w:val="20"/>
                <w:szCs w:val="20"/>
              </w:rPr>
              <w:t xml:space="preserve">order to explore </w:t>
            </w:r>
            <w:r w:rsidR="0096090B" w:rsidRPr="008E7FAA">
              <w:rPr>
                <w:rFonts w:ascii="Trebuchet MS" w:hAnsi="Trebuchet MS"/>
                <w:i/>
                <w:sz w:val="20"/>
                <w:szCs w:val="20"/>
              </w:rPr>
              <w:t xml:space="preserve">the </w:t>
            </w:r>
            <w:r w:rsidR="009E6FB3" w:rsidRPr="008E7FAA">
              <w:rPr>
                <w:rFonts w:ascii="Trebuchet MS" w:hAnsi="Trebuchet MS"/>
                <w:i/>
                <w:sz w:val="20"/>
                <w:szCs w:val="20"/>
              </w:rPr>
              <w:t>health-related components of physical fitness</w:t>
            </w:r>
            <w:r w:rsidR="005C3745" w:rsidRPr="008E7FAA">
              <w:rPr>
                <w:rFonts w:ascii="Trebuchet MS" w:hAnsi="Trebuchet MS"/>
                <w:i/>
                <w:sz w:val="20"/>
                <w:szCs w:val="20"/>
              </w:rPr>
              <w:t>.</w:t>
            </w:r>
          </w:p>
          <w:p w:rsidR="00510288" w:rsidRPr="008E7FAA" w:rsidRDefault="00510288" w:rsidP="004C5F4A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510288" w:rsidRPr="008E7FAA" w:rsidRDefault="00510288" w:rsidP="004C5F4A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510288" w:rsidRPr="008E7FAA" w:rsidRDefault="00510288" w:rsidP="004C5F4A">
            <w:pPr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C93C4F" w:rsidRPr="008E7FAA" w:rsidRDefault="00C93C4F" w:rsidP="004C5F4A">
            <w:pPr>
              <w:rPr>
                <w:rFonts w:ascii="Trebuchet MS" w:hAnsi="Trebuchet MS"/>
                <w:b/>
              </w:rPr>
            </w:pPr>
          </w:p>
          <w:p w:rsidR="00C93C4F" w:rsidRPr="008E7FAA" w:rsidRDefault="00C93C4F" w:rsidP="004C5F4A">
            <w:pPr>
              <w:rPr>
                <w:rFonts w:ascii="Trebuchet MS" w:hAnsi="Trebuchet MS"/>
                <w:b/>
              </w:rPr>
            </w:pPr>
          </w:p>
          <w:p w:rsidR="00510288" w:rsidRPr="008E7FAA" w:rsidRDefault="00510288" w:rsidP="004C5F4A">
            <w:pPr>
              <w:rPr>
                <w:rFonts w:ascii="Trebuchet MS" w:hAnsi="Trebuchet MS"/>
                <w:b/>
              </w:rPr>
            </w:pPr>
          </w:p>
          <w:p w:rsidR="00510288" w:rsidRPr="008E7FAA" w:rsidRDefault="00510288" w:rsidP="004C5F4A">
            <w:pPr>
              <w:rPr>
                <w:rFonts w:ascii="Trebuchet MS" w:hAnsi="Trebuchet MS"/>
                <w:b/>
              </w:rPr>
            </w:pPr>
          </w:p>
          <w:p w:rsidR="00510288" w:rsidRPr="008E7FAA" w:rsidRDefault="00510288" w:rsidP="004C5F4A">
            <w:pPr>
              <w:rPr>
                <w:rFonts w:ascii="Trebuchet MS" w:hAnsi="Trebuchet MS"/>
                <w:b/>
              </w:rPr>
            </w:pPr>
          </w:p>
          <w:p w:rsidR="00510288" w:rsidRPr="008E7FAA" w:rsidRDefault="00510288" w:rsidP="004C5F4A">
            <w:pPr>
              <w:rPr>
                <w:rFonts w:ascii="Trebuchet MS" w:hAnsi="Trebuchet MS"/>
                <w:b/>
              </w:rPr>
            </w:pPr>
          </w:p>
          <w:p w:rsidR="00A027B6" w:rsidRPr="008E7FAA" w:rsidRDefault="00A027B6" w:rsidP="004C5F4A">
            <w:pPr>
              <w:rPr>
                <w:rFonts w:ascii="Trebuchet MS" w:hAnsi="Trebuchet MS"/>
                <w:b/>
              </w:rPr>
            </w:pPr>
          </w:p>
          <w:p w:rsidR="00A027B6" w:rsidRPr="008E7FAA" w:rsidRDefault="00A027B6" w:rsidP="004C5F4A">
            <w:pPr>
              <w:rPr>
                <w:rFonts w:ascii="Trebuchet MS" w:hAnsi="Trebuchet MS"/>
                <w:b/>
              </w:rPr>
            </w:pPr>
          </w:p>
          <w:p w:rsidR="00A027B6" w:rsidRPr="008E7FAA" w:rsidRDefault="00A027B6" w:rsidP="004C5F4A">
            <w:pPr>
              <w:rPr>
                <w:rFonts w:ascii="Trebuchet MS" w:hAnsi="Trebuchet MS"/>
                <w:b/>
              </w:rPr>
            </w:pPr>
          </w:p>
          <w:p w:rsidR="00A027B6" w:rsidRPr="008E7FAA" w:rsidRDefault="00A027B6" w:rsidP="004C5F4A">
            <w:pPr>
              <w:rPr>
                <w:rFonts w:ascii="Trebuchet MS" w:hAnsi="Trebuchet MS"/>
                <w:b/>
              </w:rPr>
            </w:pPr>
          </w:p>
          <w:p w:rsidR="00A027B6" w:rsidRPr="008E7FAA" w:rsidRDefault="00A027B6" w:rsidP="004C5F4A">
            <w:pPr>
              <w:rPr>
                <w:rFonts w:ascii="Trebuchet MS" w:hAnsi="Trebuchet MS"/>
                <w:b/>
              </w:rPr>
            </w:pPr>
          </w:p>
          <w:p w:rsidR="00A027B6" w:rsidRPr="008E7FAA" w:rsidRDefault="00A027B6" w:rsidP="004C5F4A">
            <w:pPr>
              <w:rPr>
                <w:rFonts w:ascii="Trebuchet MS" w:hAnsi="Trebuchet MS"/>
                <w:b/>
              </w:rPr>
            </w:pPr>
          </w:p>
          <w:p w:rsidR="0096090B" w:rsidRPr="008E7FAA" w:rsidRDefault="0096090B" w:rsidP="004C5F4A">
            <w:pPr>
              <w:rPr>
                <w:rFonts w:ascii="Trebuchet MS" w:hAnsi="Trebuchet MS"/>
                <w:b/>
              </w:rPr>
            </w:pPr>
          </w:p>
        </w:tc>
      </w:tr>
    </w:tbl>
    <w:p w:rsidR="00C93C4F" w:rsidRDefault="00C93C4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8114"/>
      </w:tblGrid>
      <w:tr w:rsidR="009215FF" w:rsidTr="00F57733">
        <w:tc>
          <w:tcPr>
            <w:tcW w:w="2878" w:type="dxa"/>
          </w:tcPr>
          <w:p w:rsidR="009215FF" w:rsidRPr="0091742C" w:rsidRDefault="009215FF" w:rsidP="006929E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</w:rPr>
            </w:pPr>
            <w:r w:rsidRPr="0091742C">
              <w:rPr>
                <w:rFonts w:ascii="Trebuchet MS" w:hAnsi="Trebuchet MS"/>
                <w:b/>
              </w:rPr>
              <w:t>Health Literacy</w:t>
            </w:r>
          </w:p>
          <w:p w:rsidR="009215FF" w:rsidRPr="002F5C7B" w:rsidRDefault="009215FF" w:rsidP="006929EF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i/>
                <w:sz w:val="20"/>
                <w:szCs w:val="20"/>
              </w:rPr>
            </w:pPr>
            <w:r w:rsidRPr="002F5C7B">
              <w:rPr>
                <w:rFonts w:ascii="Trebuchet MS" w:hAnsi="Trebuchet MS"/>
                <w:i/>
                <w:sz w:val="20"/>
                <w:szCs w:val="20"/>
              </w:rPr>
              <w:t>Ability to obtain, read, and understand health-related information to make appropriate health decisions.</w:t>
            </w:r>
          </w:p>
          <w:p w:rsidR="009215FF" w:rsidRDefault="009215FF" w:rsidP="006929EF">
            <w:pPr>
              <w:pStyle w:val="ListParagraph"/>
              <w:numPr>
                <w:ilvl w:val="0"/>
                <w:numId w:val="9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Examples of essential content might include:</w:t>
            </w:r>
          </w:p>
          <w:p w:rsidR="009215FF" w:rsidRDefault="009215FF" w:rsidP="0092521C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Consumer literacy as related to personal health;</w:t>
            </w:r>
          </w:p>
          <w:p w:rsidR="009215FF" w:rsidRDefault="009215FF" w:rsidP="0092521C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eHealth literacy as related to personal health;</w:t>
            </w:r>
          </w:p>
          <w:p w:rsidR="009215FF" w:rsidRPr="00D96971" w:rsidRDefault="009215FF" w:rsidP="00D96971">
            <w:pPr>
              <w:pStyle w:val="ListParagraph"/>
              <w:numPr>
                <w:ilvl w:val="0"/>
                <w:numId w:val="14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 and information literacy as related to personal health.</w:t>
            </w:r>
          </w:p>
        </w:tc>
        <w:tc>
          <w:tcPr>
            <w:tcW w:w="11512" w:type="dxa"/>
          </w:tcPr>
          <w:p w:rsidR="009215FF" w:rsidRPr="009215FF" w:rsidRDefault="009215FF" w:rsidP="009215FF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9215FF">
              <w:rPr>
                <w:rFonts w:ascii="Trebuchet MS" w:hAnsi="Trebuchet MS"/>
                <w:i/>
                <w:sz w:val="20"/>
                <w:szCs w:val="20"/>
              </w:rPr>
              <w:t xml:space="preserve">In the space below, briefly list and describe those key assessments and self-evaluative instruments that address health literacy.  </w:t>
            </w:r>
          </w:p>
          <w:p w:rsidR="009215FF" w:rsidRDefault="009215FF" w:rsidP="004C5F4A">
            <w:pPr>
              <w:rPr>
                <w:rFonts w:ascii="Trebuchet MS" w:hAnsi="Trebuchet MS"/>
                <w:b/>
              </w:rPr>
            </w:pPr>
          </w:p>
        </w:tc>
      </w:tr>
      <w:tr w:rsidR="000C49AC" w:rsidTr="00C625BA">
        <w:tc>
          <w:tcPr>
            <w:tcW w:w="14390" w:type="dxa"/>
            <w:gridSpan w:val="2"/>
          </w:tcPr>
          <w:p w:rsidR="0096090B" w:rsidRDefault="0096090B" w:rsidP="0096090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0C49AC" w:rsidRPr="006C20F3" w:rsidRDefault="006C20F3" w:rsidP="0096090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Any course applying for General Education – SLO VII status also must include a minimum</w:t>
            </w:r>
            <w:r w:rsidR="00D96971">
              <w:rPr>
                <w:rFonts w:ascii="Trebuchet MS" w:hAnsi="Trebuchet MS"/>
                <w:b/>
                <w:sz w:val="24"/>
                <w:szCs w:val="24"/>
              </w:rPr>
              <w:t xml:space="preserve"> of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0C49AC" w:rsidRPr="0008647E">
              <w:rPr>
                <w:rFonts w:ascii="Trebuchet MS" w:hAnsi="Trebuchet MS"/>
                <w:b/>
                <w:sz w:val="24"/>
                <w:szCs w:val="24"/>
                <w:u w:val="single"/>
              </w:rPr>
              <w:t>3 of 7</w:t>
            </w:r>
            <w:r w:rsidR="000C49AC" w:rsidRPr="006C20F3">
              <w:rPr>
                <w:rFonts w:ascii="Trebuchet MS" w:hAnsi="Trebuchet MS"/>
                <w:b/>
                <w:sz w:val="24"/>
                <w:szCs w:val="24"/>
              </w:rPr>
              <w:t xml:space="preserve"> of the</w:t>
            </w:r>
            <w:r w:rsidR="0096090B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D96971">
              <w:rPr>
                <w:rFonts w:ascii="Trebuchet MS" w:hAnsi="Trebuchet MS"/>
                <w:b/>
                <w:sz w:val="24"/>
                <w:szCs w:val="24"/>
              </w:rPr>
              <w:t>following health- and wellness-</w:t>
            </w:r>
            <w:r w:rsidR="00875914">
              <w:rPr>
                <w:rFonts w:ascii="Trebuchet MS" w:hAnsi="Trebuchet MS"/>
                <w:b/>
                <w:sz w:val="24"/>
                <w:szCs w:val="24"/>
              </w:rPr>
              <w:t>related content areas</w:t>
            </w:r>
          </w:p>
          <w:p w:rsidR="006C20F3" w:rsidRDefault="006C20F3" w:rsidP="004C5F4A">
            <w:pPr>
              <w:rPr>
                <w:rFonts w:ascii="Trebuchet MS" w:hAnsi="Trebuchet MS"/>
                <w:b/>
              </w:rPr>
            </w:pPr>
          </w:p>
        </w:tc>
      </w:tr>
      <w:tr w:rsidR="009215FF" w:rsidTr="00F466B5">
        <w:tc>
          <w:tcPr>
            <w:tcW w:w="2878" w:type="dxa"/>
          </w:tcPr>
          <w:p w:rsidR="009215FF" w:rsidRPr="0091742C" w:rsidRDefault="009215FF" w:rsidP="00C05BF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</w:rPr>
            </w:pPr>
            <w:r w:rsidRPr="0091742C">
              <w:rPr>
                <w:rFonts w:ascii="Trebuchet MS" w:hAnsi="Trebuchet MS"/>
                <w:b/>
              </w:rPr>
              <w:t>Nutrition</w:t>
            </w:r>
          </w:p>
          <w:p w:rsidR="009215FF" w:rsidRDefault="009215FF" w:rsidP="006C20F3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Examples of essential content might include:</w:t>
            </w:r>
          </w:p>
          <w:p w:rsidR="009215FF" w:rsidRDefault="009215FF" w:rsidP="006C20F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Essential nutrients;</w:t>
            </w:r>
          </w:p>
          <w:p w:rsidR="009215FF" w:rsidRDefault="009215FF" w:rsidP="006C20F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Nutritional challenges during emerging adult years;</w:t>
            </w:r>
          </w:p>
          <w:p w:rsidR="009215FF" w:rsidRDefault="009215FF" w:rsidP="006C20F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Acquisition of skill to improve nutrition;</w:t>
            </w:r>
          </w:p>
          <w:p w:rsidR="009215FF" w:rsidRPr="006C20F3" w:rsidRDefault="009215FF" w:rsidP="006C20F3">
            <w:pPr>
              <w:pStyle w:val="ListParagraph"/>
              <w:numPr>
                <w:ilvl w:val="0"/>
                <w:numId w:val="17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Creating a behavior change plan for healthy personal nutrition.</w:t>
            </w:r>
          </w:p>
        </w:tc>
        <w:tc>
          <w:tcPr>
            <w:tcW w:w="11512" w:type="dxa"/>
          </w:tcPr>
          <w:p w:rsidR="009215FF" w:rsidRPr="009215FF" w:rsidRDefault="009215FF" w:rsidP="009215FF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9215FF">
              <w:rPr>
                <w:rFonts w:ascii="Trebuchet MS" w:hAnsi="Trebuchet MS"/>
                <w:i/>
                <w:sz w:val="20"/>
                <w:szCs w:val="20"/>
              </w:rPr>
              <w:t xml:space="preserve">In the space below, briefly list and describe those key assessments and self-evaluative instruments that address nutrition.  </w:t>
            </w:r>
          </w:p>
          <w:p w:rsidR="009215FF" w:rsidRDefault="009215FF" w:rsidP="004C5F4A">
            <w:pPr>
              <w:rPr>
                <w:rFonts w:ascii="Trebuchet MS" w:hAnsi="Trebuchet MS"/>
                <w:b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</w:rPr>
            </w:pPr>
          </w:p>
        </w:tc>
      </w:tr>
      <w:tr w:rsidR="009215FF" w:rsidTr="004C2F2C">
        <w:tc>
          <w:tcPr>
            <w:tcW w:w="2878" w:type="dxa"/>
          </w:tcPr>
          <w:p w:rsidR="009215FF" w:rsidRPr="0074102F" w:rsidRDefault="009215FF" w:rsidP="00C05BF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</w:rPr>
            </w:pPr>
            <w:r w:rsidRPr="0074102F">
              <w:rPr>
                <w:rFonts w:ascii="Trebuchet MS" w:hAnsi="Trebuchet MS"/>
                <w:b/>
              </w:rPr>
              <w:lastRenderedPageBreak/>
              <w:t>Weight management and body composition</w:t>
            </w:r>
          </w:p>
          <w:p w:rsidR="009215FF" w:rsidRDefault="009215FF" w:rsidP="00D96971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Examples of essential content might include:</w:t>
            </w:r>
          </w:p>
          <w:p w:rsidR="009215FF" w:rsidRDefault="009215FF" w:rsidP="00D96971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Evaluating body composition for lifelong wellness;</w:t>
            </w:r>
          </w:p>
          <w:p w:rsidR="009215FF" w:rsidRDefault="009215FF" w:rsidP="00D96971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Assessment of health-risks;</w:t>
            </w:r>
          </w:p>
          <w:p w:rsidR="009215FF" w:rsidRPr="004E4607" w:rsidRDefault="009215FF" w:rsidP="004E4607">
            <w:pPr>
              <w:pStyle w:val="ListParagraph"/>
              <w:numPr>
                <w:ilvl w:val="0"/>
                <w:numId w:val="20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Acquisition of skills to maintain or improve healthy body composition.</w:t>
            </w:r>
          </w:p>
        </w:tc>
        <w:tc>
          <w:tcPr>
            <w:tcW w:w="11512" w:type="dxa"/>
          </w:tcPr>
          <w:p w:rsidR="009215FF" w:rsidRPr="009215FF" w:rsidRDefault="009215FF" w:rsidP="009215FF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9215FF">
              <w:rPr>
                <w:rFonts w:ascii="Trebuchet MS" w:hAnsi="Trebuchet MS"/>
                <w:i/>
                <w:sz w:val="20"/>
                <w:szCs w:val="20"/>
              </w:rPr>
              <w:t xml:space="preserve">In the space below, briefly list and describe those key assessments and self-evaluative instruments that address weight management and body composition.  </w:t>
            </w:r>
          </w:p>
          <w:p w:rsidR="009215FF" w:rsidRP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510288" w:rsidRPr="009215FF" w:rsidRDefault="00510288" w:rsidP="004C5F4A">
            <w:pPr>
              <w:rPr>
                <w:rFonts w:ascii="Trebuchet MS" w:hAnsi="Trebuchet MS"/>
                <w:b/>
                <w:i/>
              </w:rPr>
            </w:pPr>
          </w:p>
        </w:tc>
      </w:tr>
      <w:tr w:rsidR="009215FF" w:rsidTr="00E3485A">
        <w:tc>
          <w:tcPr>
            <w:tcW w:w="2878" w:type="dxa"/>
          </w:tcPr>
          <w:p w:rsidR="009215FF" w:rsidRDefault="009215FF" w:rsidP="00C05BF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</w:rPr>
            </w:pPr>
            <w:r w:rsidRPr="0091742C">
              <w:rPr>
                <w:rFonts w:ascii="Trebuchet MS" w:hAnsi="Trebuchet MS"/>
                <w:b/>
              </w:rPr>
              <w:t>Stress Management</w:t>
            </w:r>
          </w:p>
          <w:p w:rsidR="009215FF" w:rsidRDefault="009215FF" w:rsidP="00D96971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Examples of essential content might include:</w:t>
            </w:r>
          </w:p>
          <w:p w:rsidR="009215FF" w:rsidRDefault="009215FF" w:rsidP="00D96971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Emerging adult stressors;</w:t>
            </w:r>
          </w:p>
          <w:p w:rsidR="009215FF" w:rsidRDefault="009215FF" w:rsidP="00D96971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Stress and disease;</w:t>
            </w:r>
          </w:p>
          <w:p w:rsidR="009215FF" w:rsidRDefault="009215FF" w:rsidP="00D96971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Strategies to manage stress;</w:t>
            </w:r>
          </w:p>
          <w:p w:rsidR="009215FF" w:rsidRPr="002F5C7B" w:rsidRDefault="009215FF" w:rsidP="002F5C7B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Acquisition of skills to maintain or improve stress.</w:t>
            </w:r>
          </w:p>
        </w:tc>
        <w:tc>
          <w:tcPr>
            <w:tcW w:w="11512" w:type="dxa"/>
          </w:tcPr>
          <w:p w:rsidR="009215FF" w:rsidRPr="009215FF" w:rsidRDefault="009215FF" w:rsidP="009215FF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9215FF">
              <w:rPr>
                <w:rFonts w:ascii="Trebuchet MS" w:hAnsi="Trebuchet MS"/>
                <w:i/>
                <w:sz w:val="20"/>
                <w:szCs w:val="20"/>
              </w:rPr>
              <w:t xml:space="preserve">In the space below, briefly list and describe those key assessments and self-evaluative instruments that address stress management.  </w:t>
            </w:r>
          </w:p>
          <w:p w:rsidR="009215FF" w:rsidRP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P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P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510288" w:rsidRPr="009215FF" w:rsidRDefault="00510288" w:rsidP="004C5F4A">
            <w:pPr>
              <w:rPr>
                <w:rFonts w:ascii="Trebuchet MS" w:hAnsi="Trebuchet MS"/>
                <w:b/>
                <w:i/>
              </w:rPr>
            </w:pPr>
          </w:p>
        </w:tc>
      </w:tr>
      <w:tr w:rsidR="009215FF" w:rsidTr="00676746">
        <w:tc>
          <w:tcPr>
            <w:tcW w:w="2878" w:type="dxa"/>
          </w:tcPr>
          <w:p w:rsidR="009215FF" w:rsidRPr="0091742C" w:rsidRDefault="009215FF" w:rsidP="00C05BF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</w:rPr>
            </w:pPr>
            <w:r w:rsidRPr="0091742C">
              <w:rPr>
                <w:rFonts w:ascii="Trebuchet MS" w:hAnsi="Trebuchet MS"/>
                <w:b/>
              </w:rPr>
              <w:t xml:space="preserve">Healthy sexuality </w:t>
            </w:r>
          </w:p>
          <w:p w:rsidR="009215FF" w:rsidRPr="006C20F3" w:rsidRDefault="009215FF" w:rsidP="006C20F3">
            <w:pPr>
              <w:pStyle w:val="ListParagraph"/>
              <w:numPr>
                <w:ilvl w:val="0"/>
                <w:numId w:val="15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Examples of essential content might include:</w:t>
            </w:r>
          </w:p>
          <w:p w:rsidR="009215FF" w:rsidRDefault="009215FF" w:rsidP="006C20F3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Healthy sexuality challenges common among emerging adults;</w:t>
            </w:r>
          </w:p>
          <w:p w:rsidR="009215FF" w:rsidRPr="006C20F3" w:rsidRDefault="009215FF" w:rsidP="006C20F3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  <w:szCs w:val="20"/>
              </w:rPr>
            </w:pPr>
            <w:r w:rsidRPr="006C20F3">
              <w:rPr>
                <w:rFonts w:ascii="Trebuchet MS" w:hAnsi="Trebuchet MS"/>
                <w:sz w:val="20"/>
                <w:szCs w:val="20"/>
              </w:rPr>
              <w:t>Sexual behaviors</w:t>
            </w:r>
            <w:r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9215FF" w:rsidRPr="006C20F3" w:rsidRDefault="009215FF" w:rsidP="006C20F3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  <w:szCs w:val="20"/>
              </w:rPr>
            </w:pPr>
            <w:r w:rsidRPr="006C20F3">
              <w:rPr>
                <w:rFonts w:ascii="Trebuchet MS" w:hAnsi="Trebuchet MS"/>
                <w:sz w:val="20"/>
                <w:szCs w:val="20"/>
              </w:rPr>
              <w:t>Contraception</w:t>
            </w:r>
            <w:r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9215FF" w:rsidRDefault="009215FF" w:rsidP="006C20F3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  <w:szCs w:val="20"/>
              </w:rPr>
            </w:pPr>
            <w:r w:rsidRPr="006C20F3">
              <w:rPr>
                <w:rFonts w:ascii="Trebuchet MS" w:hAnsi="Trebuchet MS"/>
                <w:sz w:val="20"/>
                <w:szCs w:val="20"/>
              </w:rPr>
              <w:t>Sexually transmitted infections</w:t>
            </w:r>
            <w:r>
              <w:rPr>
                <w:rFonts w:ascii="Trebuchet MS" w:hAnsi="Trebuchet MS"/>
                <w:sz w:val="20"/>
                <w:szCs w:val="20"/>
              </w:rPr>
              <w:t>;</w:t>
            </w:r>
          </w:p>
          <w:p w:rsidR="009215FF" w:rsidRPr="00D96971" w:rsidRDefault="009215FF" w:rsidP="004C5F4A">
            <w:pPr>
              <w:pStyle w:val="ListParagraph"/>
              <w:numPr>
                <w:ilvl w:val="0"/>
                <w:numId w:val="16"/>
              </w:num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Acquisition of skills to maintain or improve sexual health.</w:t>
            </w:r>
          </w:p>
        </w:tc>
        <w:tc>
          <w:tcPr>
            <w:tcW w:w="11512" w:type="dxa"/>
          </w:tcPr>
          <w:p w:rsidR="009215FF" w:rsidRPr="009215FF" w:rsidRDefault="009215FF" w:rsidP="009215FF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9215FF">
              <w:rPr>
                <w:rFonts w:ascii="Trebuchet MS" w:hAnsi="Trebuchet MS"/>
                <w:i/>
                <w:sz w:val="20"/>
                <w:szCs w:val="20"/>
              </w:rPr>
              <w:t xml:space="preserve">In the space below, briefly list and describe those key assessments and self-evaluative instruments that address healthy sexuality.  </w:t>
            </w:r>
          </w:p>
          <w:p w:rsidR="009215FF" w:rsidRP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P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P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P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P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P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P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510288" w:rsidRPr="009215FF" w:rsidRDefault="00510288" w:rsidP="004C5F4A">
            <w:pPr>
              <w:rPr>
                <w:rFonts w:ascii="Trebuchet MS" w:hAnsi="Trebuchet MS"/>
                <w:b/>
                <w:i/>
              </w:rPr>
            </w:pPr>
          </w:p>
        </w:tc>
      </w:tr>
      <w:tr w:rsidR="009215FF" w:rsidTr="00174790">
        <w:tc>
          <w:tcPr>
            <w:tcW w:w="2878" w:type="dxa"/>
          </w:tcPr>
          <w:p w:rsidR="009215FF" w:rsidRPr="0074102F" w:rsidRDefault="009215FF" w:rsidP="00C05BF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</w:rPr>
            </w:pPr>
            <w:r w:rsidRPr="0074102F">
              <w:rPr>
                <w:rFonts w:ascii="Trebuchet MS" w:hAnsi="Trebuchet MS"/>
                <w:b/>
              </w:rPr>
              <w:t>Healthy relationships</w:t>
            </w:r>
          </w:p>
          <w:p w:rsidR="009215FF" w:rsidRPr="00CD3EB4" w:rsidRDefault="009215FF" w:rsidP="00CD3EB4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Examples of essential content might include:</w:t>
            </w:r>
          </w:p>
          <w:p w:rsidR="009215FF" w:rsidRDefault="009215FF" w:rsidP="00D96971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Theories of love and sexuality;</w:t>
            </w:r>
          </w:p>
          <w:p w:rsidR="009215FF" w:rsidRPr="00CD3EB4" w:rsidRDefault="009215FF" w:rsidP="00CD3EB4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Supportive relationships as emerging adults;</w:t>
            </w:r>
          </w:p>
          <w:p w:rsidR="009215FF" w:rsidRPr="00707186" w:rsidRDefault="009215FF" w:rsidP="00707186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Characteristics of healthy partnerships.</w:t>
            </w:r>
          </w:p>
        </w:tc>
        <w:tc>
          <w:tcPr>
            <w:tcW w:w="11512" w:type="dxa"/>
          </w:tcPr>
          <w:p w:rsidR="009215FF" w:rsidRPr="009215FF" w:rsidRDefault="009215FF" w:rsidP="009215FF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9215FF">
              <w:rPr>
                <w:rFonts w:ascii="Trebuchet MS" w:hAnsi="Trebuchet MS"/>
                <w:i/>
                <w:sz w:val="20"/>
                <w:szCs w:val="20"/>
              </w:rPr>
              <w:lastRenderedPageBreak/>
              <w:t>In the space below, briefly list and describe those key assessments and self-evaluative instruments that address h</w:t>
            </w:r>
            <w:r>
              <w:rPr>
                <w:rFonts w:ascii="Trebuchet MS" w:hAnsi="Trebuchet MS"/>
                <w:i/>
                <w:sz w:val="20"/>
                <w:szCs w:val="20"/>
              </w:rPr>
              <w:t>ealthy relationships</w:t>
            </w:r>
            <w:r w:rsidRPr="009215FF">
              <w:rPr>
                <w:rFonts w:ascii="Trebuchet MS" w:hAnsi="Trebuchet MS"/>
                <w:i/>
                <w:sz w:val="20"/>
                <w:szCs w:val="20"/>
              </w:rPr>
              <w:t xml:space="preserve">.  </w:t>
            </w: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510288" w:rsidRPr="009215FF" w:rsidRDefault="00510288" w:rsidP="004C5F4A">
            <w:pPr>
              <w:rPr>
                <w:rFonts w:ascii="Trebuchet MS" w:hAnsi="Trebuchet MS"/>
                <w:b/>
                <w:i/>
              </w:rPr>
            </w:pPr>
          </w:p>
        </w:tc>
      </w:tr>
      <w:tr w:rsidR="009215FF" w:rsidTr="001B0CDE">
        <w:tc>
          <w:tcPr>
            <w:tcW w:w="2878" w:type="dxa"/>
          </w:tcPr>
          <w:p w:rsidR="009215FF" w:rsidRDefault="009215FF" w:rsidP="00C05BF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</w:rPr>
            </w:pPr>
            <w:r w:rsidRPr="0091742C">
              <w:rPr>
                <w:rFonts w:ascii="Trebuchet MS" w:hAnsi="Trebuchet MS"/>
                <w:b/>
              </w:rPr>
              <w:lastRenderedPageBreak/>
              <w:t>Drug use and abuse</w:t>
            </w:r>
          </w:p>
          <w:p w:rsidR="009215FF" w:rsidRDefault="009215FF" w:rsidP="00D96971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Examples of essential content might include:</w:t>
            </w:r>
          </w:p>
          <w:p w:rsidR="009215FF" w:rsidRDefault="009215FF" w:rsidP="00CD3EB4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Drug use among emerging adults;</w:t>
            </w:r>
          </w:p>
          <w:p w:rsidR="009215FF" w:rsidRDefault="009215FF" w:rsidP="00CD3EB4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Health risks associated with drug use and abuse;</w:t>
            </w:r>
          </w:p>
          <w:p w:rsidR="009215FF" w:rsidRPr="00CD3EB4" w:rsidRDefault="009215FF" w:rsidP="00CD3EB4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Resources for use and abuse assistance.</w:t>
            </w:r>
          </w:p>
        </w:tc>
        <w:tc>
          <w:tcPr>
            <w:tcW w:w="11512" w:type="dxa"/>
          </w:tcPr>
          <w:p w:rsidR="009215FF" w:rsidRPr="009215FF" w:rsidRDefault="009215FF" w:rsidP="009215FF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9215FF">
              <w:rPr>
                <w:rFonts w:ascii="Trebuchet MS" w:hAnsi="Trebuchet MS"/>
                <w:i/>
                <w:sz w:val="20"/>
                <w:szCs w:val="20"/>
              </w:rPr>
              <w:t>In the space below, briefly list and describe those key assessments and self-evaluativ</w:t>
            </w:r>
            <w:r>
              <w:rPr>
                <w:rFonts w:ascii="Trebuchet MS" w:hAnsi="Trebuchet MS"/>
                <w:i/>
                <w:sz w:val="20"/>
                <w:szCs w:val="20"/>
              </w:rPr>
              <w:t>e instruments that address drug use and abuse</w:t>
            </w:r>
            <w:r w:rsidRPr="009215FF">
              <w:rPr>
                <w:rFonts w:ascii="Trebuchet MS" w:hAnsi="Trebuchet MS"/>
                <w:i/>
                <w:sz w:val="20"/>
                <w:szCs w:val="20"/>
              </w:rPr>
              <w:t xml:space="preserve">.  </w:t>
            </w: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510288" w:rsidRDefault="00510288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Pr="009215FF" w:rsidRDefault="00A85CF4" w:rsidP="004C5F4A">
            <w:pPr>
              <w:rPr>
                <w:rFonts w:ascii="Trebuchet MS" w:hAnsi="Trebuchet MS"/>
                <w:b/>
                <w:i/>
              </w:rPr>
            </w:pPr>
          </w:p>
        </w:tc>
      </w:tr>
      <w:tr w:rsidR="009215FF" w:rsidTr="00623E9B">
        <w:tc>
          <w:tcPr>
            <w:tcW w:w="2878" w:type="dxa"/>
          </w:tcPr>
          <w:p w:rsidR="009215FF" w:rsidRDefault="009215FF" w:rsidP="00C05BF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b/>
              </w:rPr>
            </w:pPr>
            <w:r w:rsidRPr="0091742C">
              <w:rPr>
                <w:rFonts w:ascii="Trebuchet MS" w:hAnsi="Trebuchet MS"/>
                <w:b/>
              </w:rPr>
              <w:t>Consumer health and options in health care</w:t>
            </w:r>
          </w:p>
          <w:p w:rsidR="009215FF" w:rsidRDefault="009215FF" w:rsidP="00D96971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Examples of essential content might include:</w:t>
            </w:r>
          </w:p>
          <w:p w:rsidR="009215FF" w:rsidRDefault="009215FF" w:rsidP="00D96971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Navigating health care and coverage;</w:t>
            </w:r>
          </w:p>
          <w:p w:rsidR="009215FF" w:rsidRDefault="009215FF" w:rsidP="002047DD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Self-care, medical care, and lifelong wellness;</w:t>
            </w:r>
          </w:p>
          <w:p w:rsidR="009215FF" w:rsidRPr="00707186" w:rsidRDefault="009215FF" w:rsidP="00707186">
            <w:pPr>
              <w:pStyle w:val="ListParagraph"/>
              <w:numPr>
                <w:ilvl w:val="0"/>
                <w:numId w:val="19"/>
              </w:numPr>
              <w:spacing w:after="160" w:line="259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Assessing medical care options.</w:t>
            </w:r>
          </w:p>
        </w:tc>
        <w:tc>
          <w:tcPr>
            <w:tcW w:w="11512" w:type="dxa"/>
          </w:tcPr>
          <w:p w:rsidR="009215FF" w:rsidRPr="009215FF" w:rsidRDefault="009215FF" w:rsidP="009215FF">
            <w:pPr>
              <w:rPr>
                <w:rFonts w:ascii="Trebuchet MS" w:hAnsi="Trebuchet MS"/>
                <w:i/>
                <w:sz w:val="20"/>
                <w:szCs w:val="20"/>
              </w:rPr>
            </w:pPr>
            <w:r w:rsidRPr="009215FF">
              <w:rPr>
                <w:rFonts w:ascii="Trebuchet MS" w:hAnsi="Trebuchet MS"/>
                <w:i/>
                <w:sz w:val="20"/>
                <w:szCs w:val="20"/>
              </w:rPr>
              <w:t>In the space below, briefly list and describe those key assessments and self-evaluativ</w:t>
            </w:r>
            <w:r w:rsidR="00A85CF4">
              <w:rPr>
                <w:rFonts w:ascii="Trebuchet MS" w:hAnsi="Trebuchet MS"/>
                <w:i/>
                <w:sz w:val="20"/>
                <w:szCs w:val="20"/>
              </w:rPr>
              <w:t>e instruments that address consumer health and option in health care</w:t>
            </w:r>
            <w:r w:rsidRPr="009215FF">
              <w:rPr>
                <w:rFonts w:ascii="Trebuchet MS" w:hAnsi="Trebuchet MS"/>
                <w:i/>
                <w:sz w:val="20"/>
                <w:szCs w:val="20"/>
              </w:rPr>
              <w:t xml:space="preserve">.  </w:t>
            </w:r>
          </w:p>
          <w:p w:rsidR="009215FF" w:rsidRDefault="009215FF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A85CF4" w:rsidRDefault="00A85CF4" w:rsidP="004C5F4A">
            <w:pPr>
              <w:rPr>
                <w:rFonts w:ascii="Trebuchet MS" w:hAnsi="Trebuchet MS"/>
                <w:b/>
                <w:i/>
              </w:rPr>
            </w:pPr>
          </w:p>
          <w:p w:rsidR="00510288" w:rsidRPr="009215FF" w:rsidRDefault="00510288" w:rsidP="004C5F4A">
            <w:pPr>
              <w:rPr>
                <w:rFonts w:ascii="Trebuchet MS" w:hAnsi="Trebuchet MS"/>
                <w:b/>
                <w:i/>
              </w:rPr>
            </w:pPr>
          </w:p>
        </w:tc>
      </w:tr>
    </w:tbl>
    <w:p w:rsidR="00E717F2" w:rsidRDefault="00E717F2"/>
    <w:sectPr w:rsidR="00E717F2" w:rsidSect="00244C2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917" w:rsidRDefault="00612917" w:rsidP="00F23408">
      <w:pPr>
        <w:spacing w:after="0" w:line="240" w:lineRule="auto"/>
      </w:pPr>
      <w:r>
        <w:separator/>
      </w:r>
    </w:p>
  </w:endnote>
  <w:endnote w:type="continuationSeparator" w:id="0">
    <w:p w:rsidR="00612917" w:rsidRDefault="00612917" w:rsidP="00F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7337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23408" w:rsidRDefault="00F2340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FD0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23408" w:rsidRDefault="00F234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917" w:rsidRDefault="00612917" w:rsidP="00F23408">
      <w:pPr>
        <w:spacing w:after="0" w:line="240" w:lineRule="auto"/>
      </w:pPr>
      <w:r>
        <w:separator/>
      </w:r>
    </w:p>
  </w:footnote>
  <w:footnote w:type="continuationSeparator" w:id="0">
    <w:p w:rsidR="00612917" w:rsidRDefault="00612917" w:rsidP="00F23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A4A7B"/>
    <w:multiLevelType w:val="hybridMultilevel"/>
    <w:tmpl w:val="E79E57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9335A9"/>
    <w:multiLevelType w:val="hybridMultilevel"/>
    <w:tmpl w:val="B388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65BAE"/>
    <w:multiLevelType w:val="hybridMultilevel"/>
    <w:tmpl w:val="D696D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34F6E"/>
    <w:multiLevelType w:val="hybridMultilevel"/>
    <w:tmpl w:val="1BA29F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EB2B99"/>
    <w:multiLevelType w:val="hybridMultilevel"/>
    <w:tmpl w:val="8CDA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86C45"/>
    <w:multiLevelType w:val="hybridMultilevel"/>
    <w:tmpl w:val="CE5C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65FA"/>
    <w:multiLevelType w:val="hybridMultilevel"/>
    <w:tmpl w:val="62BC4F7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4617C1"/>
    <w:multiLevelType w:val="hybridMultilevel"/>
    <w:tmpl w:val="0170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C2AC0"/>
    <w:multiLevelType w:val="hybridMultilevel"/>
    <w:tmpl w:val="8F1481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E9D008C"/>
    <w:multiLevelType w:val="hybridMultilevel"/>
    <w:tmpl w:val="726C28B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2AE6AD1"/>
    <w:multiLevelType w:val="hybridMultilevel"/>
    <w:tmpl w:val="336C0638"/>
    <w:lvl w:ilvl="0" w:tplc="1744D77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D22A99"/>
    <w:multiLevelType w:val="hybridMultilevel"/>
    <w:tmpl w:val="50D67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32785"/>
    <w:multiLevelType w:val="hybridMultilevel"/>
    <w:tmpl w:val="BD421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F7556"/>
    <w:multiLevelType w:val="hybridMultilevel"/>
    <w:tmpl w:val="93442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C1316C"/>
    <w:multiLevelType w:val="hybridMultilevel"/>
    <w:tmpl w:val="958A51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B181E"/>
    <w:multiLevelType w:val="hybridMultilevel"/>
    <w:tmpl w:val="A70A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B364B"/>
    <w:multiLevelType w:val="hybridMultilevel"/>
    <w:tmpl w:val="317CF05E"/>
    <w:lvl w:ilvl="0" w:tplc="1744D77C">
      <w:start w:val="1"/>
      <w:numFmt w:val="bullet"/>
      <w:lvlText w:val="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4A85090B"/>
    <w:multiLevelType w:val="hybridMultilevel"/>
    <w:tmpl w:val="49A4727E"/>
    <w:lvl w:ilvl="0" w:tplc="1744D77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A224D1"/>
    <w:multiLevelType w:val="hybridMultilevel"/>
    <w:tmpl w:val="55CA7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4F7911"/>
    <w:multiLevelType w:val="hybridMultilevel"/>
    <w:tmpl w:val="99CEEC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8E5720"/>
    <w:multiLevelType w:val="hybridMultilevel"/>
    <w:tmpl w:val="8340CBB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7514B43"/>
    <w:multiLevelType w:val="hybridMultilevel"/>
    <w:tmpl w:val="26AAAD86"/>
    <w:lvl w:ilvl="0" w:tplc="1744D77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8694897"/>
    <w:multiLevelType w:val="hybridMultilevel"/>
    <w:tmpl w:val="D074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75B48"/>
    <w:multiLevelType w:val="hybridMultilevel"/>
    <w:tmpl w:val="C9A8BD2A"/>
    <w:lvl w:ilvl="0" w:tplc="04090009">
      <w:start w:val="1"/>
      <w:numFmt w:val="bullet"/>
      <w:lvlText w:val="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71BB60C4"/>
    <w:multiLevelType w:val="hybridMultilevel"/>
    <w:tmpl w:val="0B82C0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420470F"/>
    <w:multiLevelType w:val="hybridMultilevel"/>
    <w:tmpl w:val="B6F43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B401E"/>
    <w:multiLevelType w:val="hybridMultilevel"/>
    <w:tmpl w:val="F538262A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A183845"/>
    <w:multiLevelType w:val="hybridMultilevel"/>
    <w:tmpl w:val="025E33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1"/>
  </w:num>
  <w:num w:numId="4">
    <w:abstractNumId w:val="25"/>
  </w:num>
  <w:num w:numId="5">
    <w:abstractNumId w:val="27"/>
  </w:num>
  <w:num w:numId="6">
    <w:abstractNumId w:val="14"/>
  </w:num>
  <w:num w:numId="7">
    <w:abstractNumId w:val="19"/>
  </w:num>
  <w:num w:numId="8">
    <w:abstractNumId w:val="24"/>
  </w:num>
  <w:num w:numId="9">
    <w:abstractNumId w:val="8"/>
  </w:num>
  <w:num w:numId="10">
    <w:abstractNumId w:val="26"/>
  </w:num>
  <w:num w:numId="11">
    <w:abstractNumId w:val="3"/>
  </w:num>
  <w:num w:numId="12">
    <w:abstractNumId w:val="5"/>
  </w:num>
  <w:num w:numId="13">
    <w:abstractNumId w:val="9"/>
  </w:num>
  <w:num w:numId="14">
    <w:abstractNumId w:val="7"/>
  </w:num>
  <w:num w:numId="15">
    <w:abstractNumId w:val="6"/>
  </w:num>
  <w:num w:numId="16">
    <w:abstractNumId w:val="11"/>
  </w:num>
  <w:num w:numId="17">
    <w:abstractNumId w:val="4"/>
  </w:num>
  <w:num w:numId="18">
    <w:abstractNumId w:val="12"/>
  </w:num>
  <w:num w:numId="19">
    <w:abstractNumId w:val="22"/>
  </w:num>
  <w:num w:numId="20">
    <w:abstractNumId w:val="18"/>
  </w:num>
  <w:num w:numId="21">
    <w:abstractNumId w:val="1"/>
  </w:num>
  <w:num w:numId="22">
    <w:abstractNumId w:val="0"/>
  </w:num>
  <w:num w:numId="23">
    <w:abstractNumId w:val="20"/>
  </w:num>
  <w:num w:numId="24">
    <w:abstractNumId w:val="2"/>
  </w:num>
  <w:num w:numId="25">
    <w:abstractNumId w:val="10"/>
  </w:num>
  <w:num w:numId="26">
    <w:abstractNumId w:val="16"/>
  </w:num>
  <w:num w:numId="27">
    <w:abstractNumId w:val="23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4A"/>
    <w:rsid w:val="0001031B"/>
    <w:rsid w:val="0008647E"/>
    <w:rsid w:val="000C49AC"/>
    <w:rsid w:val="00187C50"/>
    <w:rsid w:val="001A6667"/>
    <w:rsid w:val="002047DD"/>
    <w:rsid w:val="00244C24"/>
    <w:rsid w:val="00286B87"/>
    <w:rsid w:val="00293C4F"/>
    <w:rsid w:val="002A3109"/>
    <w:rsid w:val="002C5401"/>
    <w:rsid w:val="002F5C7B"/>
    <w:rsid w:val="00375062"/>
    <w:rsid w:val="003E6666"/>
    <w:rsid w:val="00425FD0"/>
    <w:rsid w:val="004721BB"/>
    <w:rsid w:val="004C193A"/>
    <w:rsid w:val="004C5F4A"/>
    <w:rsid w:val="004E1667"/>
    <w:rsid w:val="004E4607"/>
    <w:rsid w:val="00510288"/>
    <w:rsid w:val="00537309"/>
    <w:rsid w:val="005C3745"/>
    <w:rsid w:val="005E1706"/>
    <w:rsid w:val="00601E4D"/>
    <w:rsid w:val="00612917"/>
    <w:rsid w:val="00650A28"/>
    <w:rsid w:val="00664DE2"/>
    <w:rsid w:val="00675999"/>
    <w:rsid w:val="0068346B"/>
    <w:rsid w:val="006929EF"/>
    <w:rsid w:val="006C20F3"/>
    <w:rsid w:val="006D26ED"/>
    <w:rsid w:val="006D6B08"/>
    <w:rsid w:val="0070615F"/>
    <w:rsid w:val="00707186"/>
    <w:rsid w:val="00713524"/>
    <w:rsid w:val="0074102F"/>
    <w:rsid w:val="0074160C"/>
    <w:rsid w:val="007B73A2"/>
    <w:rsid w:val="007D7773"/>
    <w:rsid w:val="00875914"/>
    <w:rsid w:val="008D14C9"/>
    <w:rsid w:val="008D54ED"/>
    <w:rsid w:val="008E7FAA"/>
    <w:rsid w:val="008F50DD"/>
    <w:rsid w:val="0091742C"/>
    <w:rsid w:val="009215FF"/>
    <w:rsid w:val="0092521C"/>
    <w:rsid w:val="0096090B"/>
    <w:rsid w:val="009E6FB3"/>
    <w:rsid w:val="00A027B6"/>
    <w:rsid w:val="00A170B5"/>
    <w:rsid w:val="00A4109F"/>
    <w:rsid w:val="00A85CF4"/>
    <w:rsid w:val="00AA685B"/>
    <w:rsid w:val="00AC4EBD"/>
    <w:rsid w:val="00AF2AA3"/>
    <w:rsid w:val="00B16682"/>
    <w:rsid w:val="00B205FF"/>
    <w:rsid w:val="00B36080"/>
    <w:rsid w:val="00B439F3"/>
    <w:rsid w:val="00B52733"/>
    <w:rsid w:val="00B60148"/>
    <w:rsid w:val="00BA390C"/>
    <w:rsid w:val="00BD4764"/>
    <w:rsid w:val="00C05BFF"/>
    <w:rsid w:val="00C10EC1"/>
    <w:rsid w:val="00C218FB"/>
    <w:rsid w:val="00C63DE0"/>
    <w:rsid w:val="00C656BA"/>
    <w:rsid w:val="00C77E4D"/>
    <w:rsid w:val="00C85FF6"/>
    <w:rsid w:val="00C93C4F"/>
    <w:rsid w:val="00CD3EB4"/>
    <w:rsid w:val="00D65553"/>
    <w:rsid w:val="00D947D6"/>
    <w:rsid w:val="00D96971"/>
    <w:rsid w:val="00DA4FD5"/>
    <w:rsid w:val="00DC68C6"/>
    <w:rsid w:val="00E717F2"/>
    <w:rsid w:val="00E85009"/>
    <w:rsid w:val="00EF3978"/>
    <w:rsid w:val="00F00A4C"/>
    <w:rsid w:val="00F00E8A"/>
    <w:rsid w:val="00F23408"/>
    <w:rsid w:val="00F6642E"/>
    <w:rsid w:val="00FB4ADE"/>
    <w:rsid w:val="00FD0708"/>
    <w:rsid w:val="00FD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9FB64-8CCE-43DB-A9FF-E9097C67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4C5F4A"/>
    <w:pPr>
      <w:ind w:left="720"/>
      <w:contextualSpacing/>
    </w:pPr>
  </w:style>
  <w:style w:type="table" w:styleId="TableGrid">
    <w:name w:val="Table Grid"/>
    <w:basedOn w:val="TableNormal"/>
    <w:uiPriority w:val="39"/>
    <w:rsid w:val="003E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408"/>
  </w:style>
  <w:style w:type="paragraph" w:styleId="Footer">
    <w:name w:val="footer"/>
    <w:basedOn w:val="Normal"/>
    <w:link w:val="FooterChar"/>
    <w:uiPriority w:val="99"/>
    <w:unhideWhenUsed/>
    <w:rsid w:val="00F23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408"/>
  </w:style>
  <w:style w:type="paragraph" w:styleId="BalloonText">
    <w:name w:val="Balloon Text"/>
    <w:basedOn w:val="Normal"/>
    <w:link w:val="BalloonTextChar"/>
    <w:uiPriority w:val="99"/>
    <w:semiHidden/>
    <w:unhideWhenUsed/>
    <w:rsid w:val="0001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28A9D-1021-4324-8148-C8806D6A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Boyd</dc:creator>
  <cp:keywords/>
  <dc:description/>
  <cp:lastModifiedBy>Elwood1</cp:lastModifiedBy>
  <cp:revision>4</cp:revision>
  <cp:lastPrinted>2014-12-08T16:57:00Z</cp:lastPrinted>
  <dcterms:created xsi:type="dcterms:W3CDTF">2015-04-25T22:45:00Z</dcterms:created>
  <dcterms:modified xsi:type="dcterms:W3CDTF">2015-04-28T19:06:00Z</dcterms:modified>
</cp:coreProperties>
</file>