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350CA3" w:rsidP="008F77BB">
      <w:pPr>
        <w:jc w:val="center"/>
        <w:rPr>
          <w:b/>
          <w:sz w:val="28"/>
        </w:rPr>
      </w:pPr>
      <w:r w:rsidRPr="00350CA3">
        <w:rPr>
          <w:b/>
          <w:noProof/>
          <w:sz w:val="28"/>
        </w:rPr>
        <w:drawing>
          <wp:inline distT="0" distB="0" distL="0" distR="0">
            <wp:extent cx="1809750" cy="3741744"/>
            <wp:effectExtent l="19050" t="0" r="0" b="0"/>
            <wp:docPr id="3" name="Picture 0" descr="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U.jpg"/>
                    <pic:cNvPicPr/>
                  </pic:nvPicPr>
                  <pic:blipFill>
                    <a:blip r:embed="rId7" cstate="print"/>
                    <a:stretch>
                      <a:fillRect/>
                    </a:stretch>
                  </pic:blipFill>
                  <pic:spPr>
                    <a:xfrm>
                      <a:off x="0" y="0"/>
                      <a:ext cx="1809750" cy="3741744"/>
                    </a:xfrm>
                    <a:prstGeom prst="rect">
                      <a:avLst/>
                    </a:prstGeom>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F77BB" w:rsidRPr="008F77BB" w:rsidRDefault="008F77BB" w:rsidP="008F77BB">
      <w:pPr>
        <w:jc w:val="center"/>
        <w:rPr>
          <w:b/>
          <w:sz w:val="22"/>
          <w:szCs w:val="22"/>
        </w:rPr>
      </w:pPr>
      <w:r w:rsidRPr="008F77BB">
        <w:rPr>
          <w:b/>
          <w:sz w:val="22"/>
          <w:szCs w:val="22"/>
        </w:rPr>
        <w:t xml:space="preserve">UPDATED </w:t>
      </w:r>
      <w:r w:rsidR="009A7B0B">
        <w:rPr>
          <w:b/>
          <w:sz w:val="22"/>
          <w:szCs w:val="22"/>
        </w:rPr>
        <w:t>June</w:t>
      </w:r>
      <w:r w:rsidR="001C0EF6">
        <w:rPr>
          <w:b/>
          <w:sz w:val="22"/>
          <w:szCs w:val="22"/>
        </w:rPr>
        <w:t xml:space="preserve"> 201</w:t>
      </w:r>
      <w:r w:rsidR="009A7B0B">
        <w:rPr>
          <w:b/>
          <w:sz w:val="22"/>
          <w:szCs w:val="22"/>
        </w:rPr>
        <w:t>5</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t>NIH</w:t>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6E1197">
        <w:rPr>
          <w:b/>
          <w:sz w:val="24"/>
        </w:rPr>
        <w:t>1</w:t>
      </w:r>
      <w:r w:rsidR="009A7B0B">
        <w:rPr>
          <w:b/>
          <w:sz w:val="24"/>
        </w:rPr>
        <w:t>5</w:t>
      </w:r>
      <w:r>
        <w:rPr>
          <w:b/>
          <w:sz w:val="24"/>
        </w:rPr>
        <w:t>-20</w:t>
      </w:r>
      <w:r w:rsidR="00D0344C">
        <w:rPr>
          <w:b/>
          <w:sz w:val="24"/>
        </w:rPr>
        <w:t>1</w:t>
      </w:r>
      <w:r w:rsidR="009A7B0B">
        <w:rPr>
          <w:b/>
          <w:sz w:val="24"/>
        </w:rPr>
        <w:t>6</w:t>
      </w:r>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Dr. Shala Davis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BC3721">
      <w:pPr>
        <w:ind w:left="720" w:firstLine="720"/>
        <w:jc w:val="both"/>
        <w:rPr>
          <w:b/>
          <w:sz w:val="24"/>
        </w:rPr>
      </w:pPr>
      <w:r>
        <w:rPr>
          <w:b/>
          <w:sz w:val="24"/>
        </w:rPr>
        <w:t xml:space="preserve">Dr. </w:t>
      </w:r>
      <w:r w:rsidR="001C0EF6">
        <w:rPr>
          <w:b/>
          <w:sz w:val="24"/>
        </w:rPr>
        <w:t>John Kraybill-Greggo</w:t>
      </w:r>
      <w:r w:rsidR="001C0EF6">
        <w:rPr>
          <w:b/>
          <w:sz w:val="24"/>
        </w:rPr>
        <w:tab/>
      </w:r>
      <w:r w:rsidR="001C0EF6">
        <w:rPr>
          <w:b/>
          <w:sz w:val="24"/>
        </w:rPr>
        <w:tab/>
      </w:r>
      <w:r w:rsidR="001C0EF6">
        <w:rPr>
          <w:b/>
          <w:sz w:val="24"/>
        </w:rPr>
        <w:tab/>
      </w:r>
      <w:r w:rsidR="001C0EF6">
        <w:rPr>
          <w:b/>
          <w:sz w:val="24"/>
        </w:rPr>
        <w:tab/>
      </w:r>
      <w:r>
        <w:rPr>
          <w:b/>
          <w:sz w:val="24"/>
        </w:rPr>
        <w:t>X</w:t>
      </w:r>
      <w:r w:rsidR="001C0EF6">
        <w:rPr>
          <w:b/>
          <w:sz w:val="24"/>
        </w:rPr>
        <w:t>3844</w:t>
      </w:r>
    </w:p>
    <w:p w:rsidR="009710BF" w:rsidRDefault="009710BF">
      <w:pPr>
        <w:jc w:val="both"/>
        <w:rPr>
          <w:b/>
          <w:sz w:val="24"/>
        </w:rPr>
      </w:pPr>
      <w:r>
        <w:rPr>
          <w:b/>
          <w:sz w:val="24"/>
        </w:rPr>
        <w:tab/>
      </w:r>
      <w:r>
        <w:rPr>
          <w:b/>
          <w:sz w:val="24"/>
        </w:rPr>
        <w:tab/>
        <w:t xml:space="preserve">Dr. </w:t>
      </w:r>
      <w:r w:rsidR="007115FD">
        <w:rPr>
          <w:b/>
          <w:sz w:val="24"/>
        </w:rPr>
        <w:t>Kelly Boyd</w:t>
      </w:r>
      <w:r>
        <w:rPr>
          <w:b/>
          <w:sz w:val="24"/>
        </w:rPr>
        <w:tab/>
      </w:r>
      <w:r>
        <w:rPr>
          <w:b/>
          <w:sz w:val="24"/>
        </w:rPr>
        <w:tab/>
      </w:r>
      <w:r>
        <w:rPr>
          <w:b/>
          <w:sz w:val="24"/>
        </w:rPr>
        <w:tab/>
      </w:r>
      <w:r>
        <w:rPr>
          <w:b/>
          <w:sz w:val="24"/>
        </w:rPr>
        <w:tab/>
      </w:r>
      <w:r>
        <w:rPr>
          <w:b/>
          <w:sz w:val="24"/>
        </w:rPr>
        <w:tab/>
      </w:r>
      <w:r w:rsidR="007115FD">
        <w:rPr>
          <w:b/>
          <w:sz w:val="24"/>
        </w:rPr>
        <w:t>X3702</w:t>
      </w:r>
    </w:p>
    <w:p w:rsidR="009710BF" w:rsidRDefault="009710BF">
      <w:pPr>
        <w:jc w:val="both"/>
        <w:rPr>
          <w:b/>
          <w:sz w:val="24"/>
        </w:rPr>
      </w:pPr>
      <w:r>
        <w:rPr>
          <w:b/>
          <w:sz w:val="24"/>
        </w:rPr>
        <w:tab/>
      </w:r>
      <w:r>
        <w:rPr>
          <w:b/>
          <w:sz w:val="24"/>
        </w:rPr>
        <w:tab/>
        <w:t xml:space="preserve">Dr. </w:t>
      </w:r>
      <w:smartTag w:uri="urn:schemas-microsoft-com:office:smarttags" w:element="PersonName">
        <w:r>
          <w:rPr>
            <w:b/>
            <w:sz w:val="24"/>
          </w:rPr>
          <w:t>Donna Leitner</w:t>
        </w:r>
      </w:smartTag>
      <w:r>
        <w:rPr>
          <w:b/>
          <w:sz w:val="24"/>
        </w:rPr>
        <w:tab/>
      </w:r>
      <w:r>
        <w:rPr>
          <w:b/>
          <w:sz w:val="24"/>
        </w:rPr>
        <w:tab/>
      </w:r>
      <w:r>
        <w:rPr>
          <w:b/>
          <w:sz w:val="24"/>
        </w:rPr>
        <w:tab/>
      </w:r>
      <w:r>
        <w:rPr>
          <w:b/>
          <w:sz w:val="24"/>
        </w:rPr>
        <w:tab/>
      </w:r>
      <w:r>
        <w:rPr>
          <w:b/>
          <w:sz w:val="24"/>
        </w:rPr>
        <w:tab/>
        <w:t>X3277</w:t>
      </w:r>
    </w:p>
    <w:p w:rsidR="009710BF" w:rsidRDefault="001441CA">
      <w:pPr>
        <w:ind w:left="720" w:firstLine="720"/>
        <w:jc w:val="both"/>
        <w:rPr>
          <w:b/>
          <w:sz w:val="24"/>
        </w:rPr>
      </w:pPr>
      <w:r>
        <w:rPr>
          <w:b/>
          <w:sz w:val="24"/>
        </w:rPr>
        <w:t>Dr. Joseph Miele</w:t>
      </w:r>
      <w:r>
        <w:rPr>
          <w:b/>
          <w:sz w:val="24"/>
        </w:rPr>
        <w:tab/>
      </w:r>
      <w:r>
        <w:rPr>
          <w:b/>
          <w:sz w:val="24"/>
        </w:rPr>
        <w:tab/>
      </w:r>
      <w:r>
        <w:rPr>
          <w:b/>
          <w:sz w:val="24"/>
        </w:rPr>
        <w:tab/>
      </w:r>
      <w:r>
        <w:rPr>
          <w:b/>
          <w:sz w:val="24"/>
        </w:rPr>
        <w:tab/>
      </w:r>
      <w:r w:rsidR="009E67C1">
        <w:rPr>
          <w:b/>
          <w:sz w:val="24"/>
        </w:rPr>
        <w:tab/>
      </w:r>
      <w:r w:rsidR="009710BF">
        <w:rPr>
          <w:b/>
          <w:sz w:val="24"/>
        </w:rPr>
        <w:t>X3345</w:t>
      </w:r>
    </w:p>
    <w:p w:rsidR="009710BF" w:rsidRDefault="009710BF" w:rsidP="003E3D29">
      <w:pPr>
        <w:ind w:left="720" w:firstLine="720"/>
        <w:jc w:val="both"/>
        <w:rPr>
          <w:b/>
          <w:sz w:val="24"/>
        </w:rPr>
      </w:pPr>
      <w:r>
        <w:rPr>
          <w:b/>
          <w:sz w:val="24"/>
        </w:rPr>
        <w:t xml:space="preserve">Dr. </w:t>
      </w:r>
      <w:r w:rsidR="009E67C1">
        <w:rPr>
          <w:b/>
          <w:sz w:val="24"/>
        </w:rPr>
        <w:t>Douglas Lare</w:t>
      </w:r>
      <w:r>
        <w:rPr>
          <w:b/>
          <w:sz w:val="24"/>
        </w:rPr>
        <w:tab/>
      </w:r>
      <w:r>
        <w:rPr>
          <w:b/>
          <w:sz w:val="24"/>
        </w:rPr>
        <w:tab/>
      </w:r>
      <w:r>
        <w:rPr>
          <w:b/>
          <w:sz w:val="24"/>
        </w:rPr>
        <w:tab/>
      </w:r>
      <w:r>
        <w:rPr>
          <w:b/>
          <w:sz w:val="24"/>
        </w:rPr>
        <w:tab/>
      </w:r>
      <w:r>
        <w:rPr>
          <w:b/>
          <w:sz w:val="24"/>
        </w:rPr>
        <w:tab/>
        <w:t>X3358</w:t>
      </w:r>
    </w:p>
    <w:p w:rsidR="009710BF" w:rsidRDefault="009710BF">
      <w:pPr>
        <w:jc w:val="both"/>
        <w:rPr>
          <w:b/>
          <w:sz w:val="24"/>
        </w:rPr>
      </w:pPr>
      <w:r>
        <w:rPr>
          <w:b/>
          <w:sz w:val="24"/>
        </w:rPr>
        <w:tab/>
      </w:r>
      <w:r>
        <w:rPr>
          <w:b/>
          <w:sz w:val="24"/>
        </w:rPr>
        <w:tab/>
      </w:r>
      <w:r w:rsidR="00623BC1">
        <w:rPr>
          <w:b/>
          <w:sz w:val="24"/>
        </w:rPr>
        <w:t>Dr. Greg Menio</w:t>
      </w:r>
      <w:r w:rsidR="00350CA3">
        <w:rPr>
          <w:b/>
          <w:sz w:val="24"/>
        </w:rPr>
        <w:t xml:space="preserve"> (community member)</w:t>
      </w:r>
      <w:r w:rsidR="00350CA3">
        <w:rPr>
          <w:b/>
          <w:sz w:val="24"/>
        </w:rPr>
        <w:tab/>
      </w:r>
      <w:r w:rsidR="00350CA3">
        <w:rPr>
          <w:b/>
          <w:sz w:val="24"/>
        </w:rPr>
        <w:tab/>
      </w:r>
      <w:r w:rsidR="00623BC1">
        <w:rPr>
          <w:b/>
          <w:sz w:val="24"/>
        </w:rPr>
        <w:t>(570) 476-2101</w:t>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 xml:space="preserve">These policies result from the desire of the East Stroudsburg University of Pennsylvania to comply with federal regulations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 </w:t>
      </w:r>
      <w:r w:rsidRPr="007D503E">
        <w:rPr>
          <w:sz w:val="24"/>
        </w:rPr>
        <w:t>In July, 2002 OHRP</w:t>
      </w:r>
      <w:r w:rsidR="007D503E">
        <w:rPr>
          <w:sz w:val="24"/>
        </w:rPr>
        <w:t xml:space="preserve"> </w:t>
      </w:r>
      <w:r w:rsidRPr="007D503E">
        <w:rPr>
          <w:sz w:val="24"/>
        </w:rPr>
        <w:t xml:space="preserve">issued its </w:t>
      </w:r>
      <w:r w:rsidRPr="007D503E">
        <w:rPr>
          <w:b/>
          <w:sz w:val="24"/>
          <w:u w:val="single"/>
        </w:rPr>
        <w:t>Guidance on Written IRB Procedures</w:t>
      </w:r>
      <w:r w:rsidRPr="007D503E">
        <w:rPr>
          <w:sz w:val="24"/>
          <w:u w:val="single"/>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lastRenderedPageBreak/>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fourth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NIH</w:t>
      </w:r>
      <w:r w:rsidR="0085414B">
        <w:rPr>
          <w:sz w:val="24"/>
        </w:rPr>
        <w:t xml:space="preserve"> or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bookmarkStart w:id="0" w:name="_GoBack"/>
      <w:bookmarkEnd w:id="0"/>
      <w:r>
        <w:rPr>
          <w:bCs/>
          <w:sz w:val="24"/>
        </w:rPr>
        <w:t>being of individuals.</w:t>
      </w:r>
    </w:p>
    <w:p w:rsidR="009710BF" w:rsidRDefault="009710BF">
      <w:pPr>
        <w:jc w:val="both"/>
        <w:rPr>
          <w:sz w:val="24"/>
        </w:rPr>
      </w:pPr>
    </w:p>
    <w:p w:rsidR="009710BF" w:rsidRDefault="009710BF">
      <w:pPr>
        <w:jc w:val="both"/>
        <w:rPr>
          <w:sz w:val="24"/>
        </w:rPr>
      </w:pPr>
      <w:r>
        <w:rPr>
          <w:sz w:val="24"/>
        </w:rPr>
        <w:lastRenderedPageBreak/>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complete the National Institutes of Health’s online training course</w:t>
      </w:r>
      <w:r w:rsidR="009A7B0B">
        <w:rPr>
          <w:sz w:val="24"/>
        </w:rPr>
        <w:t xml:space="preserve"> or the Collaborative Institutional Training Initiative (CITI)</w:t>
      </w:r>
      <w:r>
        <w:rPr>
          <w:sz w:val="24"/>
        </w:rPr>
        <w:t>.  The</w:t>
      </w:r>
      <w:r w:rsidR="009A7B0B">
        <w:rPr>
          <w:sz w:val="24"/>
        </w:rPr>
        <w:t xml:space="preserve"> NIH</w:t>
      </w:r>
      <w:r>
        <w:rPr>
          <w:sz w:val="24"/>
        </w:rPr>
        <w:t xml:space="preserve"> course is available at</w:t>
      </w:r>
      <w:r w:rsidR="00594E5C">
        <w:rPr>
          <w:sz w:val="24"/>
        </w:rPr>
        <w:t xml:space="preserve"> </w:t>
      </w:r>
      <w:r w:rsidR="00594E5C" w:rsidRPr="00594E5C">
        <w:rPr>
          <w:b/>
          <w:sz w:val="24"/>
          <w:u w:val="single"/>
        </w:rPr>
        <w:t>http://phrp.nihtraining.com/users/login.php</w:t>
      </w:r>
      <w:r w:rsidRPr="00300398">
        <w:rPr>
          <w:color w:val="17365D" w:themeColor="text2" w:themeShade="BF"/>
          <w:sz w:val="24"/>
        </w:rPr>
        <w:t>.</w:t>
      </w:r>
      <w:r>
        <w:rPr>
          <w:sz w:val="24"/>
        </w:rPr>
        <w:t xml:space="preserve">  A hard copy of the certificate issued by the NIH at the end of the course needs to be submitted to the IRB with each proposed request.  This certificate expires </w:t>
      </w:r>
      <w:r w:rsidRPr="00B833BF">
        <w:rPr>
          <w:sz w:val="24"/>
          <w:u w:val="single"/>
        </w:rPr>
        <w:t>two years</w:t>
      </w:r>
      <w:r>
        <w:rPr>
          <w:sz w:val="24"/>
        </w:rPr>
        <w:t xml:space="preserve"> from completion date.  </w:t>
      </w:r>
      <w:r w:rsidR="009A7B0B">
        <w:rPr>
          <w:sz w:val="24"/>
        </w:rPr>
        <w:t xml:space="preserve">To access the CITI training program </w:t>
      </w:r>
      <w:r w:rsidR="002C74CC">
        <w:rPr>
          <w:sz w:val="24"/>
        </w:rPr>
        <w:t xml:space="preserve">(expires within three years) </w:t>
      </w:r>
      <w:r w:rsidR="009A7B0B">
        <w:rPr>
          <w:sz w:val="24"/>
        </w:rPr>
        <w:t>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sent directly to the IRB, and sufficiently in advance of the due date of the application in order to allow time for the review process, should it be deemed necessary.  All research </w:t>
      </w:r>
      <w:r>
        <w:rPr>
          <w:sz w:val="24"/>
        </w:rPr>
        <w:lastRenderedPageBreak/>
        <w:t>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9710BF" w:rsidRDefault="009710BF">
      <w:pPr>
        <w:pStyle w:val="BodyTextIndent"/>
      </w:pPr>
      <w:r>
        <w:t>Excluded from this definition are activities whose sole purpose is instructional; also excluded are activities whose purpose is related to routine course or program development.  However, when such research involves students outside of the course, the investigator should file a “Research Application.”</w:t>
      </w:r>
    </w:p>
    <w:p w:rsidR="009710BF" w:rsidRDefault="009710BF">
      <w:pPr>
        <w:pStyle w:val="BodyTextIndent"/>
      </w:pP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Default="009710BF">
      <w:pPr>
        <w:ind w:left="720" w:hanging="720"/>
        <w:jc w:val="both"/>
        <w:rPr>
          <w:sz w:val="24"/>
        </w:rPr>
      </w:pPr>
      <w:r>
        <w:rPr>
          <w:b/>
          <w:bCs/>
          <w:sz w:val="24"/>
        </w:rPr>
        <w:t>II.</w:t>
      </w:r>
      <w:r>
        <w:rPr>
          <w:b/>
          <w:bCs/>
          <w:sz w:val="24"/>
        </w:rPr>
        <w:tab/>
        <w:t>Human Subject -</w:t>
      </w:r>
      <w:r>
        <w:rPr>
          <w:sz w:val="24"/>
        </w:rPr>
        <w:t xml:space="preserve"> a living individual about whom an investigator conducting research obtains (1) data through intervention or interaction with the individual, or (2) identifiable private information.</w:t>
      </w:r>
    </w:p>
    <w:p w:rsidR="009710BF" w:rsidRDefault="009710BF">
      <w:pPr>
        <w:ind w:left="720" w:hanging="720"/>
        <w:jc w:val="both"/>
        <w:rPr>
          <w:sz w:val="24"/>
        </w:rPr>
      </w:pPr>
    </w:p>
    <w:p w:rsidR="009710BF" w:rsidRDefault="009710BF">
      <w:pPr>
        <w:ind w:left="720" w:hanging="720"/>
        <w:jc w:val="both"/>
        <w:rPr>
          <w:sz w:val="24"/>
        </w:rPr>
      </w:pPr>
      <w:r>
        <w:rPr>
          <w:b/>
          <w:bCs/>
          <w:sz w:val="24"/>
        </w:rPr>
        <w:lastRenderedPageBreak/>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six categories of research as exempt from the continuing Institutional Review Board for the Protection of Human Subjects (IRB) review based upon the Department of Health and Human Services (DHHS) regulations published in the Code of Federal Regulations, 45 CFR 46, November 2001 and amended in the Federal Register on December 2001. In order to establish an 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research involving deception of subjects (i.e., where the researcher deceives the subject with regard to the purpose of the research and/or the results of the subject's actions in the </w:t>
      </w:r>
      <w:r>
        <w:rPr>
          <w:sz w:val="24"/>
        </w:rPr>
        <w:lastRenderedPageBreak/>
        <w:t xml:space="preserve">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 xml:space="preserve">at risk for criminal or civil liability or be damaging to the subjects' financial standing, employability, or reputation.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t xml:space="preserve">With respect to potential psychological risk associated with a survey, the presence or absence of subject identifiers is not necessarily a consideration since the risk may be </w:t>
      </w:r>
      <w:r>
        <w:rPr>
          <w:sz w:val="24"/>
        </w:rPr>
        <w:lastRenderedPageBreak/>
        <w:t xml:space="preserve">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9710BF" w:rsidRDefault="009710BF">
      <w:pPr>
        <w:jc w:val="both"/>
        <w:rPr>
          <w:sz w:val="24"/>
        </w:rPr>
      </w:pPr>
      <w:r>
        <w:rPr>
          <w:b/>
          <w:bCs/>
          <w:sz w:val="24"/>
        </w:rPr>
        <w:t>3.</w:t>
      </w:r>
      <w:r>
        <w:rPr>
          <w:sz w:val="24"/>
        </w:rPr>
        <w:t xml:space="preserve">  Research involving the use of educational tests (cognitive, diagnostic, aptitude, achievement), survey procedures, interview procedures, or observation of public behavior that is not exempt under paragraph 2 of this section, if: (a) the human subjects are elected or appointed public officials or candidates for public office; or (b) federal statute(s) require(s) without exception that the confidentiality of the personally identifiable information is maintained throughout the research and thereafter. </w:t>
      </w:r>
    </w:p>
    <w:p w:rsidR="009710B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9710BF" w:rsidRDefault="009710BF">
      <w:pPr>
        <w:jc w:val="both"/>
        <w:rPr>
          <w:sz w:val="24"/>
        </w:rPr>
      </w:pPr>
    </w:p>
    <w:p w:rsidR="009710BF" w:rsidRDefault="009710BF">
      <w:pPr>
        <w:pStyle w:val="BodyText2"/>
        <w:rPr>
          <w:bCs/>
        </w:rPr>
      </w:pPr>
      <w:r>
        <w:rPr>
          <w:bCs/>
        </w:rPr>
        <w:t>It should be noted that the Exempt Review categories do not apply to:</w:t>
      </w:r>
    </w:p>
    <w:p w:rsidR="009710BF" w:rsidRDefault="009710BF">
      <w:pPr>
        <w:numPr>
          <w:ilvl w:val="0"/>
          <w:numId w:val="3"/>
        </w:numPr>
        <w:jc w:val="both"/>
        <w:rPr>
          <w:sz w:val="24"/>
        </w:rPr>
      </w:pPr>
      <w:r>
        <w:rPr>
          <w:sz w:val="24"/>
        </w:rPr>
        <w:t>Research involving prisoners, fetuses, pregnant women, or human in-vitro fertilization</w:t>
      </w:r>
    </w:p>
    <w:p w:rsidR="009710BF" w:rsidRDefault="009710BF">
      <w:pPr>
        <w:numPr>
          <w:ilvl w:val="0"/>
          <w:numId w:val="3"/>
        </w:numPr>
        <w:jc w:val="both"/>
        <w:rPr>
          <w:sz w:val="24"/>
        </w:rPr>
      </w:pPr>
      <w:r>
        <w:rPr>
          <w:sz w:val="24"/>
        </w:rPr>
        <w:t>Research involving survey or interview procedures or observation of public behavior of minors, except for research involving observations of public behavior when the investigator(s) do not participate in activities being observed.</w:t>
      </w:r>
    </w:p>
    <w:p w:rsidR="009710BF" w:rsidRDefault="009710BF">
      <w:pPr>
        <w:numPr>
          <w:ilvl w:val="0"/>
          <w:numId w:val="3"/>
        </w:numPr>
        <w:jc w:val="both"/>
        <w:rPr>
          <w:sz w:val="24"/>
        </w:rPr>
      </w:pPr>
      <w:r>
        <w:rPr>
          <w:sz w:val="24"/>
        </w:rPr>
        <w:t>Research involving the deception of the subject</w:t>
      </w: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which pose no more than minimal risks to subjects and for which clear standards can be set. Accordingly, research projects which fall under one of the categories listed below will </w:t>
      </w:r>
      <w:r>
        <w:rPr>
          <w:sz w:val="24"/>
        </w:rPr>
        <w:lastRenderedPageBreak/>
        <w:t xml:space="preserve">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t xml:space="preserve">           9.  Collection of both supra- and subgingival dental plaque and calculus, provided</w:t>
      </w:r>
    </w:p>
    <w:p w:rsidR="009710BF" w:rsidRDefault="009710BF" w:rsidP="001E58F5">
      <w:pPr>
        <w:jc w:val="both"/>
        <w:rPr>
          <w:sz w:val="24"/>
        </w:rPr>
      </w:pPr>
      <w:r>
        <w:rPr>
          <w:sz w:val="24"/>
        </w:rPr>
        <w:lastRenderedPageBreak/>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9710BF" w:rsidRDefault="009710BF">
      <w:pPr>
        <w:jc w:val="both"/>
        <w:rPr>
          <w:sz w:val="24"/>
        </w:rPr>
      </w:pPr>
    </w:p>
    <w:p w:rsidR="00B833BF" w:rsidRDefault="00B833BF">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B833BF" w:rsidRDefault="00B833BF">
      <w:pPr>
        <w:jc w:val="both"/>
        <w:rPr>
          <w:b/>
          <w:bCs/>
          <w:sz w:val="24"/>
        </w:rPr>
      </w:pPr>
    </w:p>
    <w:p w:rsidR="001E58F5" w:rsidRDefault="001E58F5">
      <w:pPr>
        <w:jc w:val="both"/>
        <w:rPr>
          <w:b/>
          <w:bCs/>
          <w:sz w:val="24"/>
        </w:rPr>
      </w:pPr>
    </w:p>
    <w:p w:rsidR="009710BF" w:rsidRDefault="009710BF">
      <w:pPr>
        <w:jc w:val="both"/>
        <w:rPr>
          <w:b/>
          <w:sz w:val="24"/>
        </w:rPr>
      </w:pPr>
    </w:p>
    <w:p w:rsidR="003E3D29" w:rsidRDefault="003E3D29">
      <w:pPr>
        <w:jc w:val="both"/>
        <w:rPr>
          <w:b/>
          <w:sz w:val="24"/>
        </w:rPr>
      </w:pPr>
    </w:p>
    <w:p w:rsidR="003E3D29" w:rsidRDefault="003E3D29">
      <w:pPr>
        <w:jc w:val="both"/>
        <w:rPr>
          <w:b/>
          <w:sz w:val="24"/>
        </w:rPr>
      </w:pP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NIH</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9710BF" w:rsidRDefault="009710BF">
      <w:pPr>
        <w:jc w:val="both"/>
        <w:rPr>
          <w:sz w:val="24"/>
        </w:rPr>
      </w:pPr>
      <w:r>
        <w:rPr>
          <w:sz w:val="24"/>
        </w:rPr>
        <w:tab/>
        <w:t>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or negligence.</w:t>
      </w: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w:t>
      </w:r>
      <w:r>
        <w:rPr>
          <w:sz w:val="24"/>
        </w:rPr>
        <w:lastRenderedPageBreak/>
        <w:t xml:space="preserve">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A statement that the project is research and an explanation of the scope, aims  and purposes of the research, and the experimental procedures to be followed, including the expected duration of the subject's participation. This statement should include a description of any anticipated benefits the subject or others might reasonably expect.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lastRenderedPageBreak/>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9710BF" w:rsidRDefault="009710BF">
      <w:pPr>
        <w:ind w:left="720"/>
        <w:jc w:val="both"/>
        <w:rPr>
          <w:sz w:val="24"/>
        </w:rPr>
      </w:pPr>
      <w:r>
        <w:rPr>
          <w:sz w:val="24"/>
        </w:rPr>
        <w:t xml:space="preserve"> </w:t>
      </w:r>
      <w:r>
        <w:rPr>
          <w:b/>
          <w:bCs/>
          <w:sz w:val="24"/>
        </w:rPr>
        <w:t>9.</w:t>
      </w:r>
      <w:r>
        <w:rPr>
          <w:sz w:val="24"/>
        </w:rPr>
        <w:t xml:space="preserve">  A copy of the informed consent shall be provided to the subject or the subject's legally authorized representative. </w:t>
      </w:r>
    </w:p>
    <w:p w:rsidR="009710BF" w:rsidRDefault="009710BF">
      <w:pPr>
        <w:ind w:left="720"/>
        <w:jc w:val="both"/>
        <w:rPr>
          <w:sz w:val="24"/>
        </w:rPr>
      </w:pPr>
      <w:r>
        <w:rPr>
          <w:b/>
          <w:bCs/>
          <w:sz w:val="24"/>
        </w:rPr>
        <w:t>10.</w:t>
      </w:r>
      <w:r>
        <w:rPr>
          <w:sz w:val="24"/>
        </w:rPr>
        <w:t xml:space="preserve">  Federal law mandates that copies of all consent forms be retained for a</w:t>
      </w:r>
    </w:p>
    <w:p w:rsidR="009710BF" w:rsidRDefault="009710BF">
      <w:pPr>
        <w:pStyle w:val="BodyTextIndent"/>
      </w:pPr>
      <w:r>
        <w:t>minimum of three years after completion of the research. The principal investigator is responsible for the maintenance and retention of such records.  If the principal investigator is a student, the faculty sponsor is responsible for the maintenance of 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9710BF">
      <w:pPr>
        <w:ind w:firstLine="720"/>
        <w:jc w:val="both"/>
        <w:rPr>
          <w:sz w:val="24"/>
        </w:rPr>
      </w:pPr>
      <w:r>
        <w:rPr>
          <w:sz w:val="24"/>
        </w:rPr>
        <w:t>In all research activities, an informed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lastRenderedPageBreak/>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lastRenderedPageBreak/>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594E5C">
      <w:pPr>
        <w:pStyle w:val="BodyText"/>
        <w:numPr>
          <w:ilvl w:val="0"/>
          <w:numId w:val="8"/>
        </w:numPr>
      </w:pPr>
      <w:r>
        <w:t xml:space="preserve">Familiarize themselves with federal guidelines (Belmont Report and HHS 45 CFR 46)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take the National Institutes of Health’s online training course</w:t>
      </w:r>
      <w:r w:rsidR="00E13C01">
        <w:t xml:space="preserve"> or CITI training modules. </w:t>
      </w:r>
    </w:p>
    <w:p w:rsidR="009710BF" w:rsidRDefault="00E13C01" w:rsidP="00E13C01">
      <w:pPr>
        <w:pStyle w:val="BodyText"/>
        <w:ind w:left="720"/>
      </w:pPr>
      <w:r>
        <w:t>The NIH</w:t>
      </w:r>
      <w:r w:rsidR="009710BF">
        <w:t xml:space="preserve"> course is available at</w:t>
      </w:r>
      <w:r w:rsidR="00594E5C">
        <w:t xml:space="preserve"> </w:t>
      </w:r>
      <w:r w:rsidR="00594E5C" w:rsidRPr="004D7720">
        <w:rPr>
          <w:b/>
          <w:u w:val="single"/>
        </w:rPr>
        <w:t>http://phrp.nihtraining.com/users/login.php</w:t>
      </w:r>
      <w:r w:rsidR="009710BF">
        <w:t xml:space="preserve">.  </w:t>
      </w:r>
    </w:p>
    <w:p w:rsidR="00E13C01" w:rsidRDefault="00E13C01" w:rsidP="00E13C01">
      <w:pPr>
        <w:pStyle w:val="BodyText"/>
        <w:ind w:left="720"/>
      </w:pPr>
      <w:r>
        <w:t>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lastRenderedPageBreak/>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 supporting documents for review</w:t>
      </w:r>
      <w:r w:rsidR="0023364F">
        <w:rPr>
          <w:b w:val="0"/>
          <w:bCs w:val="0"/>
          <w:sz w:val="24"/>
        </w:rPr>
        <w:t>.</w:t>
      </w:r>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1D" w:rsidRDefault="00C1701D">
      <w:r>
        <w:separator/>
      </w:r>
    </w:p>
  </w:endnote>
  <w:endnote w:type="continuationSeparator" w:id="0">
    <w:p w:rsidR="00C1701D" w:rsidRDefault="00C1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85414B">
      <w:rPr>
        <w:rStyle w:val="PageNumber"/>
        <w:noProof/>
      </w:rPr>
      <w:t>11</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1D" w:rsidRDefault="00C1701D">
      <w:r>
        <w:separator/>
      </w:r>
    </w:p>
  </w:footnote>
  <w:footnote w:type="continuationSeparator" w:id="0">
    <w:p w:rsidR="00C1701D" w:rsidRDefault="00C1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D4E29"/>
    <w:rsid w:val="001065E0"/>
    <w:rsid w:val="001116EE"/>
    <w:rsid w:val="001441CA"/>
    <w:rsid w:val="00146631"/>
    <w:rsid w:val="00172D7A"/>
    <w:rsid w:val="001A35A5"/>
    <w:rsid w:val="001C0EF6"/>
    <w:rsid w:val="001D2F49"/>
    <w:rsid w:val="001E58F5"/>
    <w:rsid w:val="001F0424"/>
    <w:rsid w:val="00203427"/>
    <w:rsid w:val="0023364F"/>
    <w:rsid w:val="002601F6"/>
    <w:rsid w:val="002C74CC"/>
    <w:rsid w:val="002D6B65"/>
    <w:rsid w:val="00300398"/>
    <w:rsid w:val="00316FD0"/>
    <w:rsid w:val="00350CA3"/>
    <w:rsid w:val="003E3D29"/>
    <w:rsid w:val="00475B6C"/>
    <w:rsid w:val="004D32FC"/>
    <w:rsid w:val="004D7720"/>
    <w:rsid w:val="004F088C"/>
    <w:rsid w:val="00523682"/>
    <w:rsid w:val="00535B3D"/>
    <w:rsid w:val="00594E5C"/>
    <w:rsid w:val="00596FD1"/>
    <w:rsid w:val="005D0DF9"/>
    <w:rsid w:val="00623BC1"/>
    <w:rsid w:val="006A7074"/>
    <w:rsid w:val="006D1DE2"/>
    <w:rsid w:val="006E1197"/>
    <w:rsid w:val="006F02FC"/>
    <w:rsid w:val="0070200C"/>
    <w:rsid w:val="007115FD"/>
    <w:rsid w:val="007270E2"/>
    <w:rsid w:val="00745F3D"/>
    <w:rsid w:val="0075699E"/>
    <w:rsid w:val="007D503E"/>
    <w:rsid w:val="007E5159"/>
    <w:rsid w:val="00823395"/>
    <w:rsid w:val="00853840"/>
    <w:rsid w:val="0085414B"/>
    <w:rsid w:val="0086504F"/>
    <w:rsid w:val="00871FBB"/>
    <w:rsid w:val="0089594F"/>
    <w:rsid w:val="008C5C98"/>
    <w:rsid w:val="008F77BB"/>
    <w:rsid w:val="009009EE"/>
    <w:rsid w:val="00903642"/>
    <w:rsid w:val="00936DEF"/>
    <w:rsid w:val="009710BF"/>
    <w:rsid w:val="009A7B0B"/>
    <w:rsid w:val="009E67C1"/>
    <w:rsid w:val="00A50255"/>
    <w:rsid w:val="00AC5DCE"/>
    <w:rsid w:val="00B7360A"/>
    <w:rsid w:val="00B833BF"/>
    <w:rsid w:val="00BC3721"/>
    <w:rsid w:val="00C1701D"/>
    <w:rsid w:val="00C35472"/>
    <w:rsid w:val="00CB1A83"/>
    <w:rsid w:val="00D0344C"/>
    <w:rsid w:val="00DD58DA"/>
    <w:rsid w:val="00E13C01"/>
    <w:rsid w:val="00E56BCA"/>
    <w:rsid w:val="00E90796"/>
    <w:rsid w:val="00F87C36"/>
    <w:rsid w:val="00FE1300"/>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42405</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6</cp:revision>
  <cp:lastPrinted>2011-02-28T21:35:00Z</cp:lastPrinted>
  <dcterms:created xsi:type="dcterms:W3CDTF">2015-06-15T13:47:00Z</dcterms:created>
  <dcterms:modified xsi:type="dcterms:W3CDTF">2015-07-13T14:59:00Z</dcterms:modified>
</cp:coreProperties>
</file>